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008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14:paraId="1CD344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14:paraId="37DA58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14:paraId="5FC3B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14:paraId="385045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72"/>
          <w:szCs w:val="72"/>
          <w:highlight w:val="none"/>
          <w:shd w:val="clear" w:color="auto" w:fill="auto"/>
          <w:lang w:val="en-US" w:eastAsia="zh-CN" w:bidi="ar"/>
        </w:rPr>
      </w:pPr>
    </w:p>
    <w:p w14:paraId="17534545">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eastAsia="方正小标宋简体" w:cs="方正小标宋简体"/>
          <w:color w:val="auto"/>
          <w:kern w:val="0"/>
          <w:sz w:val="52"/>
          <w:szCs w:val="52"/>
          <w:highlight w:val="none"/>
          <w:shd w:val="clear" w:color="auto" w:fill="auto"/>
          <w:lang w:val="en-US" w:eastAsia="zh-CN" w:bidi="ar"/>
        </w:rPr>
        <w:t>江油市人民检察院</w:t>
      </w:r>
    </w:p>
    <w:p w14:paraId="1FB4DA52">
      <w:pPr>
        <w:keepNext w:val="0"/>
        <w:keepLines w:val="0"/>
        <w:widowControl/>
        <w:suppressLineNumbers w:val="0"/>
        <w:shd w:val="clear" w:color="auto" w:fill="auto"/>
        <w:jc w:val="center"/>
        <w:outlineLvl w:val="0"/>
        <w:rPr>
          <w:rFonts w:hint="eastAsia" w:ascii="Times New Roman" w:hAnsi="Times New Roman" w:eastAsia="方正小标宋简体" w:cs="方正小标宋简体"/>
          <w:color w:val="auto"/>
          <w:kern w:val="0"/>
          <w:sz w:val="48"/>
          <w:szCs w:val="48"/>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w:t>
      </w:r>
    </w:p>
    <w:p w14:paraId="781E94F2">
      <w:pPr>
        <w:keepNext w:val="0"/>
        <w:keepLines w:val="0"/>
        <w:widowControl/>
        <w:suppressLineNumbers w:val="0"/>
        <w:shd w:val="clear" w:color="auto" w:fill="auto"/>
        <w:jc w:val="center"/>
        <w:rPr>
          <w:rFonts w:hint="eastAsia" w:ascii="Times New Roman" w:hAnsi="Times New Roman" w:eastAsia="方正小标宋简体" w:cs="方正小标宋简体"/>
          <w:color w:val="auto"/>
          <w:kern w:val="0"/>
          <w:sz w:val="48"/>
          <w:szCs w:val="48"/>
          <w:highlight w:val="none"/>
          <w:shd w:val="clear" w:color="auto" w:fill="auto"/>
          <w:lang w:val="en-US" w:eastAsia="zh-CN" w:bidi="ar"/>
        </w:rPr>
        <w:sectPr>
          <w:footerReference r:id="rId3" w:type="default"/>
          <w:pgSz w:w="11906" w:h="16838"/>
          <w:pgMar w:top="2098" w:right="1531" w:bottom="1871" w:left="1587" w:header="720" w:footer="720" w:gutter="0"/>
          <w:pgBorders w:offsetFrom="page">
            <w:top w:val="none" w:sz="0" w:space="0"/>
            <w:left w:val="none" w:sz="0" w:space="0"/>
            <w:bottom w:val="none" w:sz="0" w:space="0"/>
            <w:right w:val="none" w:sz="0" w:space="0"/>
          </w:pgBorders>
          <w:pgNumType w:fmt="decimal"/>
          <w:cols w:space="720" w:num="1"/>
          <w:rtlGutter w:val="0"/>
          <w:docGrid w:type="lines" w:linePitch="443" w:charSpace="0"/>
        </w:sectPr>
      </w:pPr>
    </w:p>
    <w:p w14:paraId="7B7E684A">
      <w:pPr>
        <w:keepNext w:val="0"/>
        <w:keepLines w:val="0"/>
        <w:widowControl/>
        <w:suppressLineNumbers w:val="0"/>
        <w:shd w:val="clear" w:color="auto" w:fill="auto"/>
        <w:jc w:val="center"/>
        <w:outlineLvl w:val="0"/>
        <w:rPr>
          <w:rStyle w:val="9"/>
          <w:rFonts w:ascii="Times New Roman" w:hAnsi="Times New Roman" w:eastAsia="黑体" w:cs="宋体"/>
          <w:i w:val="0"/>
          <w:caps w:val="0"/>
          <w:color w:val="333333"/>
          <w:spacing w:val="0"/>
          <w:sz w:val="36"/>
          <w:szCs w:val="36"/>
          <w:highlight w:val="none"/>
          <w:shd w:val="clear" w:color="auto" w:fill="auto"/>
        </w:rPr>
      </w:pPr>
      <w:r>
        <w:rPr>
          <w:rFonts w:hint="eastAsia" w:ascii="Times New Roman" w:hAnsi="Times New Roman" w:eastAsia="方正小标宋简体" w:cs="方正小标宋简体"/>
          <w:color w:val="auto"/>
          <w:kern w:val="0"/>
          <w:sz w:val="36"/>
          <w:szCs w:val="36"/>
          <w:highlight w:val="none"/>
          <w:shd w:val="clear" w:color="auto" w:fill="auto"/>
          <w:lang w:val="en-US" w:eastAsia="zh-CN" w:bidi="ar"/>
        </w:rPr>
        <w:t>目录</w:t>
      </w:r>
    </w:p>
    <w:p w14:paraId="48D039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Style w:val="9"/>
          <w:rFonts w:ascii="Times New Roman" w:hAnsi="Times New Roman" w:eastAsia="黑体" w:cs="宋体"/>
          <w:i w:val="0"/>
          <w:caps w:val="0"/>
          <w:color w:val="333333"/>
          <w:spacing w:val="0"/>
          <w:sz w:val="32"/>
          <w:szCs w:val="21"/>
          <w:highlight w:val="none"/>
          <w:shd w:val="clear" w:color="auto" w:fill="auto"/>
        </w:rPr>
      </w:pPr>
    </w:p>
    <w:p w14:paraId="7ACE6F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32"/>
          <w:szCs w:val="32"/>
          <w:highlight w:val="none"/>
          <w:shd w:val="clear" w:color="auto" w:fill="auto"/>
        </w:rPr>
      </w:pPr>
      <w:r>
        <w:rPr>
          <w:rStyle w:val="9"/>
          <w:rFonts w:ascii="Times New Roman" w:hAnsi="Times New Roman" w:eastAsia="黑体" w:cs="宋体"/>
          <w:b w:val="0"/>
          <w:bCs/>
          <w:i w:val="0"/>
          <w:caps w:val="0"/>
          <w:color w:val="333333"/>
          <w:spacing w:val="0"/>
          <w:sz w:val="32"/>
          <w:szCs w:val="32"/>
          <w:highlight w:val="none"/>
          <w:shd w:val="clear" w:color="auto" w:fill="auto"/>
        </w:rPr>
        <w:t>第一部分</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32"/>
          <w:highlight w:val="none"/>
          <w:shd w:val="clear" w:color="auto" w:fill="auto"/>
        </w:rPr>
        <w:t xml:space="preserve"> </w:t>
      </w:r>
      <w:r>
        <w:rPr>
          <w:rStyle w:val="9"/>
          <w:rFonts w:hint="eastAsia" w:eastAsia="黑体" w:cs="宋体"/>
          <w:b w:val="0"/>
          <w:bCs/>
          <w:i w:val="0"/>
          <w:caps w:val="0"/>
          <w:color w:val="333333"/>
          <w:spacing w:val="0"/>
          <w:sz w:val="32"/>
          <w:szCs w:val="32"/>
          <w:highlight w:val="none"/>
          <w:shd w:val="clear" w:color="auto" w:fill="auto"/>
          <w:lang w:val="en-US" w:eastAsia="zh-CN"/>
        </w:rPr>
        <w:t>江油市人民检察院</w:t>
      </w:r>
      <w:r>
        <w:rPr>
          <w:rStyle w:val="9"/>
          <w:rFonts w:hint="eastAsia" w:ascii="Times New Roman" w:hAnsi="Times New Roman" w:eastAsia="黑体" w:cs="宋体"/>
          <w:b w:val="0"/>
          <w:bCs/>
          <w:i w:val="0"/>
          <w:caps w:val="0"/>
          <w:color w:val="333333"/>
          <w:spacing w:val="0"/>
          <w:sz w:val="32"/>
          <w:szCs w:val="32"/>
          <w:highlight w:val="none"/>
          <w:shd w:val="clear" w:color="auto" w:fill="auto"/>
        </w:rPr>
        <w:t>部门</w:t>
      </w:r>
      <w:r>
        <w:rPr>
          <w:rStyle w:val="9"/>
          <w:rFonts w:ascii="Times New Roman" w:hAnsi="Times New Roman" w:eastAsia="黑体" w:cs="宋体"/>
          <w:b w:val="0"/>
          <w:bCs/>
          <w:i w:val="0"/>
          <w:caps w:val="0"/>
          <w:color w:val="333333"/>
          <w:spacing w:val="0"/>
          <w:sz w:val="32"/>
          <w:szCs w:val="32"/>
          <w:highlight w:val="none"/>
          <w:shd w:val="clear" w:color="auto" w:fill="auto"/>
        </w:rPr>
        <w:t>概况</w:t>
      </w:r>
    </w:p>
    <w:p w14:paraId="77F2EA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基本职能及主要工作</w:t>
      </w:r>
    </w:p>
    <w:p w14:paraId="105402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预算单位构成</w:t>
      </w:r>
    </w:p>
    <w:p w14:paraId="52CA2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Fonts w:ascii="Times New Roman" w:hAnsi="Times New Roman" w:eastAsia="宋体" w:cs="宋体"/>
          <w:b w:val="0"/>
          <w:bCs/>
          <w:i w:val="0"/>
          <w:caps w:val="0"/>
          <w:color w:val="333333"/>
          <w:spacing w:val="0"/>
          <w:sz w:val="32"/>
          <w:szCs w:val="32"/>
          <w:highlight w:val="none"/>
          <w:shd w:val="clear" w:color="auto" w:fill="auto"/>
        </w:rPr>
      </w:pPr>
      <w:r>
        <w:rPr>
          <w:rStyle w:val="9"/>
          <w:rFonts w:ascii="Times New Roman" w:hAnsi="Times New Roman" w:eastAsia="黑体" w:cs="宋体"/>
          <w:b w:val="0"/>
          <w:bCs/>
          <w:i w:val="0"/>
          <w:caps w:val="0"/>
          <w:color w:val="333333"/>
          <w:spacing w:val="0"/>
          <w:sz w:val="32"/>
          <w:szCs w:val="32"/>
          <w:highlight w:val="none"/>
          <w:shd w:val="clear" w:color="auto" w:fill="auto"/>
        </w:rPr>
        <w:t>第二部分</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32"/>
          <w:highlight w:val="none"/>
          <w:shd w:val="clear" w:color="auto" w:fill="auto"/>
        </w:rPr>
        <w:t xml:space="preserve"> </w:t>
      </w:r>
      <w:r>
        <w:rPr>
          <w:rStyle w:val="9"/>
          <w:rFonts w:hint="eastAsia" w:eastAsia="黑体" w:cs="宋体"/>
          <w:b w:val="0"/>
          <w:bCs/>
          <w:i w:val="0"/>
          <w:caps w:val="0"/>
          <w:color w:val="333333"/>
          <w:spacing w:val="0"/>
          <w:sz w:val="32"/>
          <w:szCs w:val="32"/>
          <w:highlight w:val="none"/>
          <w:shd w:val="clear" w:color="auto" w:fill="auto"/>
          <w:lang w:val="en-US" w:eastAsia="zh-CN"/>
        </w:rPr>
        <w:t>江油市人民检察院</w:t>
      </w:r>
      <w:r>
        <w:rPr>
          <w:rStyle w:val="9"/>
          <w:rFonts w:hint="eastAsia" w:ascii="Times New Roman" w:hAnsi="Times New Roman" w:eastAsia="黑体" w:cs="宋体"/>
          <w:b w:val="0"/>
          <w:bCs/>
          <w:i w:val="0"/>
          <w:caps w:val="0"/>
          <w:color w:val="333333"/>
          <w:spacing w:val="0"/>
          <w:sz w:val="32"/>
          <w:szCs w:val="32"/>
          <w:highlight w:val="none"/>
          <w:shd w:val="clear" w:color="auto" w:fill="auto"/>
        </w:rPr>
        <w:t>部门</w:t>
      </w:r>
      <w:r>
        <w:rPr>
          <w:rStyle w:val="9"/>
          <w:rFonts w:ascii="Times New Roman" w:hAnsi="Times New Roman" w:eastAsia="黑体" w:cs="宋体"/>
          <w:b w:val="0"/>
          <w:bCs/>
          <w:i w:val="0"/>
          <w:caps w:val="0"/>
          <w:color w:val="333333"/>
          <w:spacing w:val="0"/>
          <w:sz w:val="32"/>
          <w:szCs w:val="32"/>
          <w:highlight w:val="none"/>
          <w:shd w:val="clear" w:color="auto" w:fill="auto"/>
        </w:rPr>
        <w:t>202</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5</w:t>
      </w:r>
      <w:r>
        <w:rPr>
          <w:rStyle w:val="9"/>
          <w:rFonts w:ascii="Times New Roman" w:hAnsi="Times New Roman" w:eastAsia="黑体" w:cs="宋体"/>
          <w:b w:val="0"/>
          <w:bCs/>
          <w:i w:val="0"/>
          <w:caps w:val="0"/>
          <w:color w:val="333333"/>
          <w:spacing w:val="0"/>
          <w:sz w:val="32"/>
          <w:szCs w:val="32"/>
          <w:highlight w:val="none"/>
          <w:shd w:val="clear" w:color="auto" w:fill="auto"/>
        </w:rPr>
        <w:t>年部门预算表</w:t>
      </w:r>
    </w:p>
    <w:p w14:paraId="1D46E5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一、</w:t>
      </w:r>
      <w:r>
        <w:rPr>
          <w:rFonts w:hint="eastAsia" w:ascii="Times New Roman" w:hAnsi="Times New Roman" w:cs="仿宋_GB2312"/>
          <w:i w:val="0"/>
          <w:caps w:val="0"/>
          <w:color w:val="333333"/>
          <w:spacing w:val="0"/>
          <w:sz w:val="32"/>
          <w:szCs w:val="32"/>
          <w:highlight w:val="none"/>
          <w:shd w:val="clear" w:color="auto" w:fill="auto"/>
          <w:lang w:val="en-US"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收支总表</w:t>
      </w:r>
    </w:p>
    <w:p w14:paraId="7B421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w:t>
      </w:r>
      <w:r>
        <w:rPr>
          <w:rFonts w:hint="eastAsia" w:ascii="Times New Roman" w:hAnsi="Times New Roman" w:cs="仿宋_GB2312"/>
          <w:i w:val="0"/>
          <w:caps w:val="0"/>
          <w:color w:val="333333"/>
          <w:spacing w:val="0"/>
          <w:sz w:val="32"/>
          <w:szCs w:val="32"/>
          <w:highlight w:val="none"/>
          <w:shd w:val="clear" w:color="auto" w:fill="auto"/>
          <w:lang w:val="en-US"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收入总表</w:t>
      </w:r>
    </w:p>
    <w:p w14:paraId="0C26D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w:t>
      </w:r>
      <w:r>
        <w:rPr>
          <w:rFonts w:hint="eastAsia" w:ascii="Times New Roman" w:hAnsi="Times New Roman" w:cs="仿宋_GB2312"/>
          <w:i w:val="0"/>
          <w:caps w:val="0"/>
          <w:color w:val="333333"/>
          <w:spacing w:val="0"/>
          <w:sz w:val="32"/>
          <w:szCs w:val="32"/>
          <w:highlight w:val="none"/>
          <w:shd w:val="clear" w:color="auto" w:fill="auto"/>
          <w:lang w:val="en-US" w:eastAsia="zh-CN"/>
        </w:rPr>
        <w:t>部门</w:t>
      </w:r>
      <w:r>
        <w:rPr>
          <w:rFonts w:hint="eastAsia" w:ascii="Times New Roman" w:hAnsi="Times New Roman" w:eastAsia="仿宋_GB2312" w:cs="仿宋_GB2312"/>
          <w:i w:val="0"/>
          <w:caps w:val="0"/>
          <w:color w:val="333333"/>
          <w:spacing w:val="0"/>
          <w:sz w:val="32"/>
          <w:szCs w:val="32"/>
          <w:highlight w:val="none"/>
          <w:shd w:val="clear" w:color="auto" w:fill="auto"/>
        </w:rPr>
        <w:t>支出总表</w:t>
      </w:r>
    </w:p>
    <w:p w14:paraId="410D99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p>
    <w:p w14:paraId="38CC40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五、财政拨款支出预算表（部门经济分类科目）</w:t>
      </w:r>
    </w:p>
    <w:p w14:paraId="15D614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p>
    <w:p w14:paraId="0CB770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p>
    <w:p w14:paraId="2F8303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p>
    <w:p w14:paraId="12BFF3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14:paraId="24F174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14:paraId="3763FD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十一、政府性基金预算“三公”经费支出预算表</w:t>
      </w:r>
    </w:p>
    <w:p w14:paraId="1D3B72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十二</w:t>
      </w: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p>
    <w:p w14:paraId="1494F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十三、部门预算项目支出绩效目标表</w:t>
      </w:r>
    </w:p>
    <w:p w14:paraId="18B87D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p>
    <w:p w14:paraId="68526B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2240" w:leftChars="200" w:right="0" w:hanging="1600" w:hangingChars="500"/>
        <w:jc w:val="both"/>
        <w:textAlignment w:val="auto"/>
        <w:outlineLvl w:val="0"/>
        <w:rPr>
          <w:rStyle w:val="9"/>
          <w:rFonts w:ascii="Times New Roman" w:hAnsi="Times New Roman" w:eastAsia="黑体" w:cs="宋体"/>
          <w:b w:val="0"/>
          <w:bCs/>
          <w:i w:val="0"/>
          <w:caps w:val="0"/>
          <w:color w:val="333333"/>
          <w:spacing w:val="0"/>
          <w:sz w:val="32"/>
          <w:szCs w:val="32"/>
          <w:highlight w:val="none"/>
          <w:shd w:val="clear" w:color="auto" w:fill="auto"/>
        </w:rPr>
      </w:pPr>
      <w:r>
        <w:rPr>
          <w:rStyle w:val="9"/>
          <w:rFonts w:ascii="Times New Roman" w:hAnsi="Times New Roman" w:eastAsia="黑体" w:cs="宋体"/>
          <w:b w:val="0"/>
          <w:bCs/>
          <w:i w:val="0"/>
          <w:caps w:val="0"/>
          <w:color w:val="333333"/>
          <w:spacing w:val="0"/>
          <w:sz w:val="32"/>
          <w:szCs w:val="32"/>
          <w:highlight w:val="none"/>
          <w:shd w:val="clear" w:color="auto" w:fill="auto"/>
        </w:rPr>
        <w:t>第三部分</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32"/>
          <w:highlight w:val="none"/>
          <w:shd w:val="clear" w:color="auto" w:fill="auto"/>
        </w:rPr>
        <w:t xml:space="preserve"> </w:t>
      </w:r>
      <w:r>
        <w:rPr>
          <w:rStyle w:val="9"/>
          <w:rFonts w:hint="eastAsia" w:eastAsia="黑体" w:cs="宋体"/>
          <w:b w:val="0"/>
          <w:bCs/>
          <w:i w:val="0"/>
          <w:caps w:val="0"/>
          <w:color w:val="333333"/>
          <w:spacing w:val="0"/>
          <w:sz w:val="32"/>
          <w:szCs w:val="32"/>
          <w:highlight w:val="none"/>
          <w:shd w:val="clear" w:color="auto" w:fill="auto"/>
          <w:lang w:val="en-US" w:eastAsia="zh-CN"/>
        </w:rPr>
        <w:t>江油市人民检察院部门</w:t>
      </w:r>
      <w:r>
        <w:rPr>
          <w:rStyle w:val="9"/>
          <w:rFonts w:ascii="Times New Roman" w:hAnsi="Times New Roman" w:eastAsia="黑体" w:cs="宋体"/>
          <w:b w:val="0"/>
          <w:bCs/>
          <w:i w:val="0"/>
          <w:caps w:val="0"/>
          <w:color w:val="333333"/>
          <w:spacing w:val="0"/>
          <w:sz w:val="32"/>
          <w:szCs w:val="32"/>
          <w:highlight w:val="none"/>
          <w:shd w:val="clear" w:color="auto" w:fill="auto"/>
        </w:rPr>
        <w:t>202</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5</w:t>
      </w:r>
      <w:r>
        <w:rPr>
          <w:rStyle w:val="9"/>
          <w:rFonts w:ascii="Times New Roman" w:hAnsi="Times New Roman" w:eastAsia="黑体" w:cs="宋体"/>
          <w:b w:val="0"/>
          <w:bCs/>
          <w:i w:val="0"/>
          <w:caps w:val="0"/>
          <w:color w:val="333333"/>
          <w:spacing w:val="0"/>
          <w:sz w:val="32"/>
          <w:szCs w:val="32"/>
          <w:highlight w:val="none"/>
          <w:shd w:val="clear" w:color="auto" w:fill="auto"/>
        </w:rPr>
        <w:t>年部门预算情况说明</w:t>
      </w:r>
    </w:p>
    <w:p w14:paraId="59815A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0"/>
        <w:rPr>
          <w:rStyle w:val="9"/>
          <w:rFonts w:ascii="Times New Roman" w:hAnsi="Times New Roman" w:eastAsia="黑体" w:cs="宋体"/>
          <w:b w:val="0"/>
          <w:bCs/>
          <w:i w:val="0"/>
          <w:caps w:val="0"/>
          <w:color w:val="333333"/>
          <w:spacing w:val="0"/>
          <w:sz w:val="32"/>
          <w:szCs w:val="32"/>
          <w:highlight w:val="none"/>
          <w:shd w:val="clear" w:color="auto" w:fill="auto"/>
        </w:rPr>
      </w:pPr>
      <w:r>
        <w:rPr>
          <w:rStyle w:val="9"/>
          <w:rFonts w:ascii="Times New Roman" w:hAnsi="Times New Roman" w:eastAsia="黑体" w:cs="宋体"/>
          <w:b w:val="0"/>
          <w:bCs/>
          <w:i w:val="0"/>
          <w:caps w:val="0"/>
          <w:color w:val="333333"/>
          <w:spacing w:val="0"/>
          <w:sz w:val="32"/>
          <w:szCs w:val="32"/>
          <w:highlight w:val="none"/>
          <w:shd w:val="clear" w:color="auto" w:fill="auto"/>
        </w:rPr>
        <w:t>第四部分</w:t>
      </w:r>
      <w:r>
        <w:rPr>
          <w:rStyle w:val="9"/>
          <w:rFonts w:hint="eastAsia" w:ascii="Times New Roman" w:hAnsi="Times New Roman" w:eastAsia="黑体" w:cs="宋体"/>
          <w:b w:val="0"/>
          <w:bCs/>
          <w:i w:val="0"/>
          <w:caps w:val="0"/>
          <w:color w:val="333333"/>
          <w:spacing w:val="0"/>
          <w:sz w:val="32"/>
          <w:szCs w:val="32"/>
          <w:highlight w:val="none"/>
          <w:shd w:val="clear" w:color="auto" w:fill="auto"/>
          <w:lang w:val="en-US" w:eastAsia="zh-CN"/>
        </w:rPr>
        <w:t xml:space="preserve">  </w:t>
      </w:r>
      <w:r>
        <w:rPr>
          <w:rStyle w:val="9"/>
          <w:rFonts w:ascii="Times New Roman" w:hAnsi="Times New Roman" w:eastAsia="黑体" w:cs="宋体"/>
          <w:b w:val="0"/>
          <w:bCs/>
          <w:i w:val="0"/>
          <w:caps w:val="0"/>
          <w:color w:val="333333"/>
          <w:spacing w:val="0"/>
          <w:sz w:val="32"/>
          <w:szCs w:val="32"/>
          <w:highlight w:val="none"/>
          <w:shd w:val="clear" w:color="auto" w:fill="auto"/>
        </w:rPr>
        <w:t>名词解释</w:t>
      </w:r>
    </w:p>
    <w:p w14:paraId="69F8A6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32"/>
          <w:szCs w:val="32"/>
          <w:highlight w:val="none"/>
          <w:shd w:val="clear" w:color="auto" w:fill="auto"/>
          <w:lang w:val="en-US" w:eastAsia="zh-CN" w:bidi="ar"/>
        </w:rPr>
        <w:sectPr>
          <w:footerReference r:id="rId4"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08B2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917FF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C7756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E521B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FF76E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7DF15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FF588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A160E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0AE1B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Style w:val="9"/>
          <w:rFonts w:hint="eastAsia" w:ascii="Times New Roman" w:hAnsi="Times New Roman" w:eastAsia="方正小标宋简体" w:cs="方正小标宋简体"/>
          <w:b w:val="0"/>
          <w:bCs/>
          <w:i w:val="0"/>
          <w:caps w:val="0"/>
          <w:color w:val="333333"/>
          <w:spacing w:val="0"/>
          <w:sz w:val="48"/>
          <w:szCs w:val="48"/>
          <w:highlight w:val="none"/>
          <w:shd w:val="clear" w:color="auto" w:fill="auto"/>
          <w:lang w:eastAsia="zh-CN"/>
        </w:rPr>
        <w:sectPr>
          <w:footerReference r:id="rId5"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第一部分  江油市人民检察院概况</w:t>
      </w:r>
    </w:p>
    <w:p w14:paraId="210F99CE">
      <w:pPr>
        <w:pStyle w:val="3"/>
        <w:keepNext w:val="0"/>
        <w:keepLines w:val="0"/>
        <w:pageBreakBefore w:val="0"/>
        <w:widowControl w:val="0"/>
        <w:kinsoku/>
        <w:wordWrap/>
        <w:overflowPunct/>
        <w:topLinePunct w:val="0"/>
        <w:bidi w:val="0"/>
        <w:adjustRightInd w:val="0"/>
        <w:snapToGrid/>
        <w:spacing w:before="130" w:beforeLines="0" w:line="520" w:lineRule="exact"/>
        <w:ind w:left="0" w:leftChars="0" w:firstLine="640" w:firstLineChars="200"/>
        <w:jc w:val="both"/>
        <w:textAlignment w:val="auto"/>
        <w:rPr>
          <w:rFonts w:hint="eastAsia"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sz w:val="32"/>
          <w:szCs w:val="32"/>
        </w:rPr>
        <w:t>基本职能及主要工作</w:t>
      </w:r>
    </w:p>
    <w:p w14:paraId="78DFFE6B">
      <w:pPr>
        <w:pStyle w:val="3"/>
        <w:keepNext w:val="0"/>
        <w:keepLines w:val="0"/>
        <w:pageBreakBefore w:val="0"/>
        <w:widowControl w:val="0"/>
        <w:kinsoku/>
        <w:wordWrap/>
        <w:overflowPunct/>
        <w:topLinePunct w:val="0"/>
        <w:bidi w:val="0"/>
        <w:adjustRightInd w:val="0"/>
        <w:snapToGrid/>
        <w:spacing w:before="130" w:beforeLines="0" w:line="520" w:lineRule="exact"/>
        <w:ind w:left="0" w:leftChars="0" w:firstLine="643" w:firstLineChars="200"/>
        <w:jc w:val="both"/>
        <w:textAlignment w:val="auto"/>
        <w:rPr>
          <w:rFonts w:hint="eastAsia" w:ascii="Times New Roman" w:hAnsi="Times New Roman" w:eastAsia="楷体_GB2312"/>
          <w:b/>
          <w:sz w:val="32"/>
          <w:szCs w:val="32"/>
          <w:u w:val="none"/>
        </w:rPr>
      </w:pPr>
      <w:r>
        <w:rPr>
          <w:rFonts w:hint="eastAsia" w:ascii="Times New Roman" w:hAnsi="Times New Roman" w:eastAsia="楷体_GB2312"/>
          <w:b/>
          <w:sz w:val="32"/>
          <w:szCs w:val="32"/>
          <w:u w:val="none"/>
        </w:rPr>
        <w:t>（一）江油市人民检察院</w:t>
      </w:r>
      <w:r>
        <w:rPr>
          <w:rFonts w:hint="eastAsia" w:ascii="Times New Roman" w:hAnsi="Times New Roman" w:eastAsia="楷体_GB2312"/>
          <w:b/>
          <w:sz w:val="32"/>
          <w:szCs w:val="32"/>
          <w:u w:val="none"/>
          <w:lang w:eastAsia="zh-CN"/>
        </w:rPr>
        <w:t>部门</w:t>
      </w:r>
      <w:r>
        <w:rPr>
          <w:rFonts w:hint="eastAsia" w:ascii="Times New Roman" w:hAnsi="Times New Roman" w:eastAsia="楷体_GB2312"/>
          <w:b/>
          <w:sz w:val="32"/>
          <w:szCs w:val="32"/>
          <w:u w:val="none"/>
        </w:rPr>
        <w:t>职能简介</w:t>
      </w:r>
    </w:p>
    <w:p w14:paraId="6D62EA58">
      <w:pPr>
        <w:keepNext w:val="0"/>
        <w:keepLines w:val="0"/>
        <w:pageBreakBefore w:val="0"/>
        <w:widowControl w:val="0"/>
        <w:kinsoku/>
        <w:wordWrap/>
        <w:overflowPunct/>
        <w:topLinePunct w:val="0"/>
        <w:bidi w:val="0"/>
        <w:snapToGrid/>
        <w:spacing w:beforeLines="0" w:line="560" w:lineRule="exact"/>
        <w:ind w:left="0"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ascii="仿宋_GB2312" w:hAnsi="宋体" w:eastAsia="仿宋_GB2312" w:cs="仿宋_GB2312"/>
          <w:i w:val="0"/>
          <w:iCs w:val="0"/>
          <w:caps w:val="0"/>
          <w:color w:val="333333"/>
          <w:spacing w:val="0"/>
          <w:sz w:val="32"/>
          <w:szCs w:val="32"/>
          <w:shd w:val="clear" w:fill="FFFFFF"/>
        </w:rPr>
        <w:t>江油市人民检察院是行政单位，是中华人民共和国的法律监督机关，依法公正严格行使国家的检察权。</w:t>
      </w:r>
      <w:r>
        <w:rPr>
          <w:rFonts w:hint="default" w:ascii="仿宋_GB2312" w:hAnsi="宋体" w:eastAsia="仿宋_GB2312" w:cs="仿宋_GB2312"/>
          <w:i w:val="0"/>
          <w:iCs w:val="0"/>
          <w:caps w:val="0"/>
          <w:color w:val="000000"/>
          <w:spacing w:val="0"/>
          <w:sz w:val="32"/>
          <w:szCs w:val="32"/>
          <w:shd w:val="clear" w:fill="FFFFFF"/>
        </w:rPr>
        <w:t>为维护江油的经济发展、政治和社会稳定充分发挥检察机关职能作用。</w:t>
      </w:r>
      <w:r>
        <w:rPr>
          <w:rFonts w:hint="eastAsia" w:ascii="仿宋_GB2312" w:hAnsi="宋体" w:eastAsia="仿宋_GB2312" w:cs="仿宋_GB2312"/>
          <w:i w:val="0"/>
          <w:iCs w:val="0"/>
          <w:caps w:val="0"/>
          <w:color w:val="000000"/>
          <w:spacing w:val="0"/>
          <w:sz w:val="32"/>
          <w:szCs w:val="32"/>
          <w:shd w:val="clear" w:fill="FFFFFF"/>
          <w:lang w:val="en-US" w:eastAsia="zh-CN"/>
        </w:rPr>
        <w:t xml:space="preserve"> </w:t>
      </w:r>
    </w:p>
    <w:p w14:paraId="18D2ABBB">
      <w:pPr>
        <w:pStyle w:val="3"/>
        <w:keepNext w:val="0"/>
        <w:keepLines w:val="0"/>
        <w:pageBreakBefore w:val="0"/>
        <w:widowControl w:val="0"/>
        <w:kinsoku/>
        <w:wordWrap/>
        <w:overflowPunct/>
        <w:topLinePunct w:val="0"/>
        <w:bidi w:val="0"/>
        <w:adjustRightInd w:val="0"/>
        <w:snapToGrid/>
        <w:spacing w:before="130" w:beforeLines="0" w:line="520" w:lineRule="exact"/>
        <w:ind w:left="0" w:leftChars="0" w:firstLine="643" w:firstLineChars="200"/>
        <w:jc w:val="both"/>
        <w:textAlignment w:val="auto"/>
        <w:rPr>
          <w:rFonts w:hint="eastAsia" w:ascii="Times New Roman" w:hAnsi="Times New Roman" w:eastAsia="楷体_GB2312"/>
          <w:b/>
          <w:sz w:val="32"/>
          <w:szCs w:val="32"/>
          <w:u w:val="none"/>
        </w:rPr>
      </w:pPr>
      <w:r>
        <w:rPr>
          <w:rFonts w:hint="eastAsia" w:ascii="Times New Roman" w:hAnsi="Times New Roman" w:eastAsia="楷体_GB2312" w:cs="Times New Roman"/>
          <w:b/>
          <w:kern w:val="2"/>
          <w:sz w:val="32"/>
          <w:szCs w:val="32"/>
          <w:lang w:val="en-US" w:eastAsia="zh-CN" w:bidi="ar-SA"/>
        </w:rPr>
        <w:t>（二）</w:t>
      </w:r>
      <w:r>
        <w:rPr>
          <w:rFonts w:hint="eastAsia" w:ascii="Times New Roman" w:hAnsi="Times New Roman" w:eastAsia="楷体_GB2312"/>
          <w:b/>
          <w:sz w:val="32"/>
          <w:szCs w:val="32"/>
          <w:u w:val="none"/>
        </w:rPr>
        <w:t>江油市人民检察院</w:t>
      </w:r>
      <w:r>
        <w:rPr>
          <w:rFonts w:hint="eastAsia" w:ascii="Times New Roman" w:hAnsi="Times New Roman" w:eastAsia="楷体_GB2312"/>
          <w:b/>
          <w:sz w:val="32"/>
          <w:szCs w:val="32"/>
          <w:u w:val="none"/>
          <w:lang w:eastAsia="zh-CN"/>
        </w:rPr>
        <w:t>部门</w:t>
      </w:r>
      <w:r>
        <w:rPr>
          <w:rFonts w:hint="eastAsia" w:ascii="Times New Roman" w:hAnsi="Times New Roman" w:eastAsia="楷体_GB2312"/>
          <w:b/>
          <w:sz w:val="32"/>
          <w:szCs w:val="32"/>
          <w:u w:val="none"/>
        </w:rPr>
        <w:t>20</w:t>
      </w:r>
      <w:r>
        <w:rPr>
          <w:rFonts w:hint="eastAsia" w:ascii="Times New Roman" w:hAnsi="Times New Roman" w:eastAsia="楷体_GB2312"/>
          <w:b/>
          <w:sz w:val="32"/>
          <w:szCs w:val="32"/>
          <w:u w:val="none"/>
          <w:lang w:val="en-US" w:eastAsia="zh-CN"/>
        </w:rPr>
        <w:t>25</w:t>
      </w:r>
      <w:r>
        <w:rPr>
          <w:rFonts w:hint="eastAsia" w:ascii="Times New Roman" w:hAnsi="Times New Roman" w:eastAsia="楷体_GB2312"/>
          <w:b/>
          <w:sz w:val="32"/>
          <w:szCs w:val="32"/>
          <w:u w:val="none"/>
        </w:rPr>
        <w:t>年重点工作</w:t>
      </w:r>
    </w:p>
    <w:p w14:paraId="575FD18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江油市检察院将始终坚持以习近平新时代中国特色社会主义思想为指导，深入践行习近平法治思想，全面贯彻党的二十大和二十届三中全会精神，紧紧围绕推进中国式现代化这个最大的政治，聚焦高质量发展这个新时代的硬道理，认真落实中央政法工作会议、全国检察长会议和江油市委十四届八次会议部署要求，严格执行市人大及其常委会决议决定，从政治上着眼，从法治上着力，高质效办好每一个案件，加快推进检察工作理念、体系、机制、能力现代化，以检察工作现代化更好支撑和服务现代化江油建设。</w:t>
      </w:r>
    </w:p>
    <w:p w14:paraId="60659605">
      <w:pPr>
        <w:keepNext w:val="0"/>
        <w:keepLines w:val="0"/>
        <w:pageBreakBefore w:val="0"/>
        <w:widowControl w:val="0"/>
        <w:kinsoku/>
        <w:wordWrap/>
        <w:overflowPunct/>
        <w:topLinePunct w:val="0"/>
        <w:bidi w:val="0"/>
        <w:snapToGrid/>
        <w:spacing w:beforeLines="0" w:line="560" w:lineRule="exact"/>
        <w:ind w:firstLine="640" w:firstLineChars="200"/>
        <w:jc w:val="both"/>
        <w:textAlignment w:val="auto"/>
        <w:rPr>
          <w:rFonts w:hint="eastAsia" w:ascii="Times New Roman" w:hAnsi="Times New Roman" w:eastAsia="黑体"/>
          <w:u w:val="none"/>
        </w:rPr>
      </w:pPr>
      <w:r>
        <w:rPr>
          <w:rFonts w:hint="eastAsia" w:ascii="Times New Roman" w:hAnsi="Times New Roman" w:eastAsia="黑体"/>
          <w:u w:val="none"/>
        </w:rPr>
        <w:t>二、部门预算单位构成</w:t>
      </w:r>
    </w:p>
    <w:p w14:paraId="3C85448B">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rPr>
      </w:pPr>
      <w:r>
        <w:rPr>
          <w:rFonts w:hint="eastAsia" w:ascii="Times New Roman" w:hAnsi="Times New Roman"/>
          <w:sz w:val="32"/>
        </w:rPr>
        <w:t>江油市人民检察院为绵阳市市一级预算单位，无下属二级预算单位。</w:t>
      </w:r>
    </w:p>
    <w:p w14:paraId="0C96A7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119BDF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180EF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BAB521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A321CE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9BEFFC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07DF3E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0D434D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5A5EC73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AA8520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FA2A3E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1A7A5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7B6ECC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第二部分  </w:t>
      </w:r>
      <w:r>
        <w:rPr>
          <w:rFonts w:hint="eastAsia" w:eastAsia="方正小标宋简体" w:cs="方正小标宋简体"/>
          <w:color w:val="auto"/>
          <w:kern w:val="0"/>
          <w:sz w:val="52"/>
          <w:szCs w:val="52"/>
          <w:highlight w:val="none"/>
          <w:shd w:val="clear" w:color="auto" w:fill="auto"/>
          <w:lang w:val="en-US" w:eastAsia="zh-CN" w:bidi="ar"/>
        </w:rPr>
        <w:t>江油市人民检察院</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部门</w:t>
      </w:r>
    </w:p>
    <w:p w14:paraId="2600EE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36"/>
          <w:szCs w:val="36"/>
          <w:highlight w:val="none"/>
          <w:shd w:val="clear" w:color="auto" w:fill="auto"/>
          <w:lang w:val="en-US" w:eastAsia="zh-CN" w:bidi="ar"/>
        </w:rPr>
      </w:pPr>
      <w:r>
        <w:rPr>
          <w:rFonts w:hint="eastAsia" w:eastAsia="方正小标宋简体" w:cs="方正小标宋简体"/>
          <w:color w:val="auto"/>
          <w:kern w:val="0"/>
          <w:sz w:val="52"/>
          <w:szCs w:val="52"/>
          <w:highlight w:val="none"/>
          <w:shd w:val="clear" w:color="auto" w:fill="auto"/>
          <w:lang w:val="en-US" w:eastAsia="zh-CN" w:bidi="ar"/>
        </w:rPr>
        <w:t xml:space="preserve">       </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2025年部门预算表</w:t>
      </w:r>
    </w:p>
    <w:p w14:paraId="4354F95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450" w:beforeAutospacing="0" w:after="0" w:afterAutospacing="0" w:line="360" w:lineRule="atLeast"/>
        <w:ind w:left="420" w:leftChars="0" w:right="0" w:rightChars="0"/>
        <w:jc w:val="both"/>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6"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9E540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rPr>
        <w:t>一、部门收支总表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44BF3C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二、部门收入总表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003FD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三、部门支出总表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1-2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394373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四、财政拨款收支</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总表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6FB8C1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五、</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财政拨款支出预算表（部门经济分类科目）（公开表</w:t>
      </w:r>
      <w:r>
        <w:rPr>
          <w:rFonts w:hint="eastAsia" w:ascii="Times New Roman" w:hAnsi="Times New Roman" w:eastAsia="仿宋_GB2312" w:cs="仿宋_GB2312"/>
          <w:i w:val="0"/>
          <w:caps w:val="0"/>
          <w:color w:val="333333"/>
          <w:spacing w:val="-20"/>
          <w:sz w:val="32"/>
          <w:szCs w:val="32"/>
          <w:highlight w:val="none"/>
          <w:shd w:val="clear" w:color="auto" w:fill="auto"/>
          <w:lang w:val="en-US" w:eastAsia="zh-CN"/>
        </w:rPr>
        <w:t>2-1</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w:t>
      </w:r>
    </w:p>
    <w:p w14:paraId="646DB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六</w:t>
      </w:r>
      <w:r>
        <w:rPr>
          <w:rFonts w:hint="eastAsia" w:ascii="Times New Roman" w:hAnsi="Times New Roman" w:eastAsia="仿宋_GB2312" w:cs="仿宋_GB2312"/>
          <w:i w:val="0"/>
          <w:caps w:val="0"/>
          <w:color w:val="333333"/>
          <w:spacing w:val="0"/>
          <w:sz w:val="32"/>
          <w:szCs w:val="32"/>
          <w:highlight w:val="none"/>
          <w:shd w:val="clear" w:color="auto" w:fill="auto"/>
        </w:rPr>
        <w:t>、一般公共预算支出预算表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63D896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七</w:t>
      </w:r>
      <w:r>
        <w:rPr>
          <w:rFonts w:hint="eastAsia" w:ascii="Times New Roman" w:hAnsi="Times New Roman" w:eastAsia="仿宋_GB2312" w:cs="仿宋_GB2312"/>
          <w:i w:val="0"/>
          <w:caps w:val="0"/>
          <w:color w:val="333333"/>
          <w:spacing w:val="0"/>
          <w:sz w:val="32"/>
          <w:szCs w:val="32"/>
          <w:highlight w:val="none"/>
          <w:shd w:val="clear" w:color="auto" w:fill="auto"/>
        </w:rPr>
        <w:t>、一般公共预算基本支出预算表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3-1</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165E5C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八、</w:t>
      </w:r>
      <w:r>
        <w:rPr>
          <w:rFonts w:hint="eastAsia" w:ascii="Times New Roman" w:hAnsi="Times New Roman" w:eastAsia="仿宋_GB2312" w:cs="仿宋_GB2312"/>
          <w:i w:val="0"/>
          <w:caps w:val="0"/>
          <w:color w:val="333333"/>
          <w:spacing w:val="0"/>
          <w:sz w:val="32"/>
          <w:szCs w:val="32"/>
          <w:highlight w:val="none"/>
          <w:shd w:val="clear" w:color="auto" w:fill="auto"/>
        </w:rPr>
        <w:t>一般公共预算项目支出预算表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3-2</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5DC716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九</w:t>
      </w:r>
      <w:r>
        <w:rPr>
          <w:rFonts w:hint="eastAsia" w:ascii="Times New Roman" w:hAnsi="Times New Roman" w:eastAsia="仿宋_GB2312" w:cs="仿宋_GB2312"/>
          <w:i w:val="0"/>
          <w:caps w:val="0"/>
          <w:color w:val="333333"/>
          <w:spacing w:val="0"/>
          <w:sz w:val="32"/>
          <w:szCs w:val="32"/>
          <w:highlight w:val="none"/>
          <w:shd w:val="clear" w:color="auto" w:fill="auto"/>
        </w:rPr>
        <w:t>、一般公共预算“三公”经费支出</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3-3</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54AB5F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w:t>
      </w:r>
      <w:r>
        <w:rPr>
          <w:rFonts w:hint="eastAsia" w:ascii="Times New Roman" w:hAnsi="Times New Roman" w:eastAsia="仿宋_GB2312" w:cs="仿宋_GB2312"/>
          <w:i w:val="0"/>
          <w:caps w:val="0"/>
          <w:color w:val="333333"/>
          <w:spacing w:val="0"/>
          <w:sz w:val="32"/>
          <w:szCs w:val="32"/>
          <w:highlight w:val="none"/>
          <w:shd w:val="clear" w:color="auto" w:fill="auto"/>
        </w:rPr>
        <w:t>、政府性基金预算支出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4</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621466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20"/>
          <w:sz w:val="32"/>
          <w:szCs w:val="32"/>
          <w:highlight w:val="none"/>
          <w:shd w:val="clear" w:color="auto" w:fill="auto"/>
          <w:lang w:eastAsia="zh-CN"/>
        </w:rPr>
      </w:pPr>
      <w:r>
        <w:rPr>
          <w:rFonts w:hint="eastAsia" w:ascii="Times New Roman" w:hAnsi="Times New Roman" w:eastAsia="仿宋_GB2312" w:cs="仿宋_GB2312"/>
          <w:i w:val="0"/>
          <w:caps w:val="0"/>
          <w:color w:val="333333"/>
          <w:spacing w:val="0"/>
          <w:sz w:val="32"/>
          <w:szCs w:val="32"/>
          <w:highlight w:val="none"/>
          <w:shd w:val="clear" w:color="auto" w:fill="auto"/>
          <w:lang w:eastAsia="zh-CN"/>
        </w:rPr>
        <w:t>十一、</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政府性基金预算“三公”经费支出预算表（公开表</w:t>
      </w:r>
      <w:r>
        <w:rPr>
          <w:rFonts w:hint="eastAsia" w:ascii="Times New Roman" w:hAnsi="Times New Roman" w:eastAsia="仿宋_GB2312" w:cs="仿宋_GB2312"/>
          <w:i w:val="0"/>
          <w:caps w:val="0"/>
          <w:color w:val="333333"/>
          <w:spacing w:val="-20"/>
          <w:sz w:val="32"/>
          <w:szCs w:val="32"/>
          <w:highlight w:val="none"/>
          <w:shd w:val="clear" w:color="auto" w:fill="auto"/>
          <w:lang w:val="en-US" w:eastAsia="zh-CN"/>
        </w:rPr>
        <w:t>4-1</w:t>
      </w:r>
      <w:r>
        <w:rPr>
          <w:rFonts w:hint="eastAsia" w:ascii="Times New Roman" w:hAnsi="Times New Roman" w:eastAsia="仿宋_GB2312" w:cs="仿宋_GB2312"/>
          <w:i w:val="0"/>
          <w:caps w:val="0"/>
          <w:color w:val="333333"/>
          <w:spacing w:val="-20"/>
          <w:sz w:val="32"/>
          <w:szCs w:val="32"/>
          <w:highlight w:val="none"/>
          <w:shd w:val="clear" w:color="auto" w:fill="auto"/>
          <w:lang w:eastAsia="zh-CN"/>
        </w:rPr>
        <w:t>）</w:t>
      </w:r>
    </w:p>
    <w:p w14:paraId="61647F1B">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Times New Roman" w:hAnsi="Times New Roman" w:eastAsia="仿宋_GB2312" w:cs="仿宋_GB2312"/>
          <w:i w:val="0"/>
          <w:caps w:val="0"/>
          <w:color w:val="333333"/>
          <w:spacing w:val="0"/>
          <w:sz w:val="32"/>
          <w:szCs w:val="32"/>
          <w:highlight w:val="none"/>
          <w:shd w:val="clear" w:color="auto" w:fill="auto"/>
          <w:lang w:eastAsia="zh-CN"/>
        </w:rPr>
      </w:pPr>
      <w:r>
        <w:rPr>
          <w:rFonts w:hint="eastAsia" w:ascii="Times New Roman" w:hAnsi="Times New Roman" w:cs="仿宋_GB2312"/>
          <w:i w:val="0"/>
          <w:caps w:val="0"/>
          <w:color w:val="333333"/>
          <w:spacing w:val="0"/>
          <w:sz w:val="32"/>
          <w:szCs w:val="32"/>
          <w:highlight w:val="none"/>
          <w:shd w:val="clear" w:color="auto" w:fill="auto"/>
          <w:lang w:val="en-US" w:eastAsia="zh-CN"/>
        </w:rPr>
        <w:t>十二、</w:t>
      </w:r>
      <w:r>
        <w:rPr>
          <w:rFonts w:hint="eastAsia" w:ascii="Times New Roman" w:hAnsi="Times New Roman" w:eastAsia="仿宋_GB2312" w:cs="仿宋_GB2312"/>
          <w:i w:val="0"/>
          <w:caps w:val="0"/>
          <w:color w:val="333333"/>
          <w:spacing w:val="0"/>
          <w:sz w:val="32"/>
          <w:szCs w:val="32"/>
          <w:highlight w:val="none"/>
          <w:shd w:val="clear" w:color="auto" w:fill="auto"/>
        </w:rPr>
        <w:t>国有资本经营预算支出</w:t>
      </w:r>
      <w:r>
        <w:rPr>
          <w:rFonts w:hint="eastAsia" w:ascii="Times New Roman" w:hAnsi="Times New Roman" w:cs="仿宋_GB2312"/>
          <w:i w:val="0"/>
          <w:caps w:val="0"/>
          <w:color w:val="333333"/>
          <w:spacing w:val="0"/>
          <w:sz w:val="32"/>
          <w:szCs w:val="32"/>
          <w:highlight w:val="none"/>
          <w:shd w:val="clear" w:color="auto" w:fill="auto"/>
          <w:lang w:val="en-US" w:eastAsia="zh-CN"/>
        </w:rPr>
        <w:t>预算</w:t>
      </w:r>
      <w:r>
        <w:rPr>
          <w:rFonts w:hint="eastAsia" w:ascii="Times New Roman" w:hAnsi="Times New Roman" w:eastAsia="仿宋_GB2312" w:cs="仿宋_GB2312"/>
          <w:i w:val="0"/>
          <w:caps w:val="0"/>
          <w:color w:val="333333"/>
          <w:spacing w:val="0"/>
          <w:sz w:val="32"/>
          <w:szCs w:val="32"/>
          <w:highlight w:val="none"/>
          <w:shd w:val="clear" w:color="auto" w:fill="auto"/>
        </w:rPr>
        <w:t>表</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（公开表</w:t>
      </w:r>
      <w:r>
        <w:rPr>
          <w:rFonts w:hint="eastAsia" w:ascii="Times New Roman" w:hAnsi="Times New Roman" w:eastAsia="仿宋_GB2312" w:cs="仿宋_GB2312"/>
          <w:i w:val="0"/>
          <w:caps w:val="0"/>
          <w:color w:val="333333"/>
          <w:spacing w:val="0"/>
          <w:sz w:val="32"/>
          <w:szCs w:val="32"/>
          <w:highlight w:val="none"/>
          <w:shd w:val="clear" w:color="auto" w:fill="auto"/>
          <w:lang w:val="en-US" w:eastAsia="zh-CN"/>
        </w:rPr>
        <w:t>5</w:t>
      </w:r>
      <w:r>
        <w:rPr>
          <w:rFonts w:hint="eastAsia" w:ascii="Times New Roman" w:hAnsi="Times New Roman" w:eastAsia="仿宋_GB2312" w:cs="仿宋_GB2312"/>
          <w:i w:val="0"/>
          <w:caps w:val="0"/>
          <w:color w:val="333333"/>
          <w:spacing w:val="0"/>
          <w:sz w:val="32"/>
          <w:szCs w:val="32"/>
          <w:highlight w:val="none"/>
          <w:shd w:val="clear" w:color="auto" w:fill="auto"/>
          <w:lang w:eastAsia="zh-CN"/>
        </w:rPr>
        <w:t>）</w:t>
      </w:r>
    </w:p>
    <w:p w14:paraId="63634B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十三、部门预算项目支出绩效目标表（公开表6）</w:t>
      </w:r>
    </w:p>
    <w:p w14:paraId="4FC9B6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eastAsia" w:ascii="Times New Roman" w:hAnsi="Times New Roman" w:eastAsia="仿宋_GB2312" w:cs="仿宋_GB2312"/>
          <w:i w:val="0"/>
          <w:caps w:val="0"/>
          <w:color w:val="333333"/>
          <w:spacing w:val="0"/>
          <w:sz w:val="32"/>
          <w:szCs w:val="32"/>
          <w:highlight w:val="none"/>
          <w:shd w:val="clear" w:color="auto" w:fill="auto"/>
        </w:rPr>
      </w:pPr>
      <w:r>
        <w:rPr>
          <w:rFonts w:hint="eastAsia" w:ascii="Times New Roman" w:hAnsi="Times New Roman" w:eastAsia="仿宋_GB2312" w:cs="仿宋_GB2312"/>
          <w:i w:val="0"/>
          <w:caps w:val="0"/>
          <w:color w:val="333333"/>
          <w:spacing w:val="0"/>
          <w:sz w:val="32"/>
          <w:szCs w:val="32"/>
          <w:highlight w:val="none"/>
          <w:shd w:val="clear" w:color="auto" w:fill="auto"/>
        </w:rPr>
        <w:t>十四、部门整体支出绩效目标表</w:t>
      </w: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（公开表</w:t>
      </w:r>
      <w:r>
        <w:rPr>
          <w:rFonts w:hint="eastAsia" w:ascii="Times New Roman" w:hAnsi="Times New Roman" w:cs="仿宋_GB2312"/>
          <w:i w:val="0"/>
          <w:caps w:val="0"/>
          <w:color w:val="333333"/>
          <w:spacing w:val="0"/>
          <w:sz w:val="32"/>
          <w:szCs w:val="32"/>
          <w:highlight w:val="none"/>
          <w:shd w:val="clear" w:color="auto" w:fill="auto"/>
          <w:lang w:val="en-US" w:eastAsia="zh-CN"/>
        </w:rPr>
        <w:t>7</w:t>
      </w: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w:t>
      </w:r>
    </w:p>
    <w:p w14:paraId="004627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r>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t>（</w:t>
      </w:r>
      <w:r>
        <w:rPr>
          <w:rFonts w:hint="default" w:ascii="仿宋_GB2312" w:hAnsi="宋体" w:eastAsia="仿宋_GB2312" w:cs="仿宋_GB2312"/>
          <w:i w:val="0"/>
          <w:iCs w:val="0"/>
          <w:caps w:val="0"/>
          <w:color w:val="333333"/>
          <w:spacing w:val="0"/>
          <w:sz w:val="32"/>
          <w:szCs w:val="32"/>
          <w:shd w:val="clear" w:fill="FFFFFF"/>
        </w:rPr>
        <w:t>详细表格见附件</w:t>
      </w:r>
      <w:r>
        <w:rPr>
          <w:rFonts w:hint="default" w:ascii="仿宋_GB2312" w:hAnsi="Times New Roman" w:eastAsia="仿宋_GB2312" w:cs="仿宋_GB2312"/>
          <w:i w:val="0"/>
          <w:iCs w:val="0"/>
          <w:caps w:val="0"/>
          <w:color w:val="333333"/>
          <w:spacing w:val="0"/>
          <w:sz w:val="32"/>
          <w:szCs w:val="32"/>
          <w:shd w:val="clear" w:fill="FFFFFF"/>
        </w:rPr>
        <w:t>。）</w:t>
      </w:r>
    </w:p>
    <w:p w14:paraId="03C40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1"/>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p>
    <w:p w14:paraId="2234486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pPr>
    </w:p>
    <w:p w14:paraId="2E3E1B7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Times New Roman" w:hAnsi="Times New Roman" w:eastAsia="仿宋_GB2312" w:cs="仿宋_GB2312"/>
          <w:i w:val="0"/>
          <w:caps w:val="0"/>
          <w:color w:val="333333"/>
          <w:spacing w:val="0"/>
          <w:sz w:val="32"/>
          <w:szCs w:val="32"/>
          <w:highlight w:val="none"/>
          <w:shd w:val="clear" w:color="auto" w:fill="auto"/>
          <w:lang w:val="en-US" w:eastAsia="zh-CN"/>
        </w:rPr>
        <w:sectPr>
          <w:footerReference r:id="rId7"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285455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B389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8E39A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1B82D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31D0F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7A6F5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63236A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31A346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3E7E5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auto"/>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第三部分  </w:t>
      </w:r>
      <w:r>
        <w:rPr>
          <w:rFonts w:hint="eastAsia" w:eastAsia="方正小标宋简体" w:cs="方正小标宋简体"/>
          <w:color w:val="auto"/>
          <w:kern w:val="0"/>
          <w:sz w:val="52"/>
          <w:szCs w:val="52"/>
          <w:highlight w:val="none"/>
          <w:shd w:val="clear" w:color="auto" w:fill="auto"/>
          <w:lang w:val="en-US" w:eastAsia="zh-CN" w:bidi="ar"/>
        </w:rPr>
        <w:t>江油市人民检察院</w:t>
      </w: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部门</w:t>
      </w:r>
    </w:p>
    <w:p w14:paraId="7A6F51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800" w:lineRule="exact"/>
        <w:ind w:left="0" w:leftChars="0" w:right="0" w:rightChars="0" w:firstLine="0" w:firstLineChars="0"/>
        <w:jc w:val="center"/>
        <w:textAlignment w:val="auto"/>
        <w:outlineLvl w:val="1"/>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2025年部门预算情况说明</w:t>
      </w:r>
    </w:p>
    <w:p w14:paraId="5F848A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800" w:lineRule="exact"/>
        <w:ind w:left="0" w:leftChars="0" w:right="0" w:rightChars="0" w:firstLine="640" w:firstLineChars="200"/>
        <w:jc w:val="center"/>
        <w:textAlignment w:val="auto"/>
        <w:rPr>
          <w:rFonts w:hint="eastAsia" w:ascii="Times New Roman" w:hAnsi="Times New Roman" w:eastAsia="黑体" w:cs="Times New Roman"/>
          <w:sz w:val="32"/>
          <w:szCs w:val="32"/>
          <w:highlight w:val="none"/>
          <w:lang w:eastAsia="zh-CN"/>
        </w:rPr>
        <w:sectPr>
          <w:footerReference r:id="rId8" w:type="default"/>
          <w:pgSz w:w="11906" w:h="16838"/>
          <w:pgMar w:top="1440" w:right="1800" w:bottom="1440" w:left="1800"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4069757D">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u w:val="none"/>
        </w:rPr>
      </w:pPr>
      <w:r>
        <w:rPr>
          <w:rFonts w:hint="eastAsia" w:ascii="Times New Roman" w:hAnsi="Times New Roman" w:eastAsia="黑体"/>
          <w:u w:val="none"/>
          <w:lang w:val="en-US" w:eastAsia="zh-CN"/>
        </w:rPr>
        <w:t>一</w:t>
      </w:r>
      <w:r>
        <w:rPr>
          <w:rFonts w:hint="eastAsia" w:ascii="Times New Roman" w:hAnsi="Times New Roman" w:eastAsia="黑体"/>
          <w:u w:val="none"/>
        </w:rPr>
        <w:t>、收支预算情况说明</w:t>
      </w:r>
    </w:p>
    <w:p w14:paraId="63ADB8F8">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仿宋_GB2312" w:hAnsi="宋体" w:eastAsia="仿宋_GB2312" w:cs="仿宋_GB2312"/>
          <w:i w:val="0"/>
          <w:iCs w:val="0"/>
          <w:caps w:val="0"/>
          <w:color w:val="333333"/>
          <w:spacing w:val="0"/>
          <w:sz w:val="32"/>
          <w:szCs w:val="32"/>
          <w:shd w:val="clear" w:fill="FFFFFF"/>
        </w:rPr>
      </w:pPr>
      <w:r>
        <w:rPr>
          <w:rFonts w:hint="eastAsia" w:ascii="Times New Roman" w:hAnsi="Times New Roman"/>
          <w:u w:val="none"/>
        </w:rPr>
        <w:t>按</w:t>
      </w:r>
      <w:r>
        <w:rPr>
          <w:rFonts w:hint="eastAsia" w:ascii="Times New Roman" w:hAnsi="Times New Roman"/>
          <w:highlight w:val="none"/>
          <w:u w:val="none"/>
        </w:rPr>
        <w:t>照综合预算的原则</w:t>
      </w:r>
      <w:r>
        <w:rPr>
          <w:rFonts w:hint="eastAsia"/>
          <w:highlight w:val="none"/>
          <w:u w:val="none"/>
          <w:lang w:val="en-US" w:eastAsia="zh-CN"/>
        </w:rPr>
        <w:t>江油市人民检察院</w:t>
      </w:r>
      <w:r>
        <w:rPr>
          <w:rFonts w:hint="eastAsia" w:ascii="Times New Roman" w:hAnsi="Times New Roman"/>
          <w:highlight w:val="none"/>
          <w:u w:val="none"/>
          <w:lang w:val="en-US" w:eastAsia="zh-CN"/>
        </w:rPr>
        <w:t>部门</w:t>
      </w:r>
      <w:r>
        <w:rPr>
          <w:rFonts w:hint="eastAsia" w:ascii="Times New Roman" w:hAnsi="Times New Roman"/>
          <w:highlight w:val="none"/>
          <w:u w:val="none"/>
        </w:rPr>
        <w:t>所有收入和支出均纳入部门预算管理。收入包括：一般公共预算拨款收入；支出包括：</w:t>
      </w:r>
      <w:r>
        <w:rPr>
          <w:rFonts w:hint="default" w:ascii="仿宋_GB2312" w:hAnsi="宋体" w:eastAsia="仿宋_GB2312" w:cs="仿宋_GB2312"/>
          <w:i w:val="0"/>
          <w:iCs w:val="0"/>
          <w:caps w:val="0"/>
          <w:color w:val="333333"/>
          <w:spacing w:val="0"/>
          <w:sz w:val="32"/>
          <w:szCs w:val="32"/>
          <w:shd w:val="clear" w:fill="FFFFFF"/>
        </w:rPr>
        <w:t>公共安全支出、社会保障和就业支出、卫生健康支出、住房保障支出</w:t>
      </w:r>
      <w:r>
        <w:rPr>
          <w:rFonts w:hint="eastAsia" w:ascii="Times New Roman" w:hAnsi="Times New Roman"/>
          <w:highlight w:val="none"/>
          <w:u w:val="none"/>
        </w:rPr>
        <w:t>。</w:t>
      </w:r>
      <w:r>
        <w:rPr>
          <w:rFonts w:hint="eastAsia"/>
          <w:highlight w:val="none"/>
          <w:u w:val="none"/>
          <w:lang w:val="en-US" w:eastAsia="zh-CN"/>
        </w:rPr>
        <w:t>江油市人民检察院</w:t>
      </w:r>
      <w:r>
        <w:rPr>
          <w:rFonts w:hint="eastAsia" w:ascii="Times New Roman" w:hAnsi="Times New Roman"/>
          <w:highlight w:val="none"/>
          <w:u w:val="none"/>
          <w:lang w:val="en-US"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年收支总预算1</w:t>
      </w:r>
      <w:r>
        <w:rPr>
          <w:rFonts w:hint="eastAsia"/>
          <w:highlight w:val="none"/>
          <w:u w:val="none"/>
          <w:lang w:val="en-US" w:eastAsia="zh-CN"/>
        </w:rPr>
        <w:t>,</w:t>
      </w:r>
      <w:r>
        <w:rPr>
          <w:rFonts w:hint="eastAsia" w:ascii="Times New Roman" w:hAnsi="Times New Roman"/>
          <w:highlight w:val="none"/>
          <w:u w:val="none"/>
        </w:rPr>
        <w:t>761.29万元</w:t>
      </w:r>
      <w:r>
        <w:rPr>
          <w:rFonts w:hint="eastAsia" w:ascii="Times New Roman" w:hAnsi="Times New Roman"/>
          <w:highlight w:val="none"/>
          <w:u w:val="none"/>
          <w:lang w:eastAsia="zh-CN"/>
        </w:rPr>
        <w:t>，</w:t>
      </w:r>
      <w:r>
        <w:rPr>
          <w:rFonts w:hint="eastAsia" w:ascii="Times New Roman" w:hAnsi="Times New Roman"/>
          <w:highlight w:val="none"/>
          <w:u w:val="none"/>
          <w:lang w:val="en-US" w:eastAsia="zh-CN"/>
        </w:rPr>
        <w:t>较上年</w:t>
      </w:r>
      <w:r>
        <w:rPr>
          <w:rFonts w:hint="eastAsia" w:ascii="Times New Roman" w:hAnsi="Times New Roman"/>
          <w:highlight w:val="none"/>
          <w:u w:val="none"/>
        </w:rPr>
        <w:t>收支预算总数增加</w:t>
      </w:r>
      <w:r>
        <w:rPr>
          <w:rFonts w:hint="eastAsia"/>
          <w:highlight w:val="none"/>
          <w:u w:val="none"/>
          <w:lang w:val="en-US" w:eastAsia="zh-CN"/>
        </w:rPr>
        <w:t>59.93</w:t>
      </w:r>
      <w:r>
        <w:rPr>
          <w:rFonts w:hint="eastAsia" w:ascii="Times New Roman" w:hAnsi="Times New Roman"/>
          <w:highlight w:val="none"/>
          <w:u w:val="none"/>
        </w:rPr>
        <w:t>万元，主要原因是</w:t>
      </w:r>
      <w:r>
        <w:rPr>
          <w:rFonts w:hint="eastAsia" w:ascii="仿宋_GB2312" w:hAnsi="宋体" w:eastAsia="仿宋_GB2312" w:cs="仿宋_GB2312"/>
          <w:i w:val="0"/>
          <w:iCs w:val="0"/>
          <w:caps w:val="0"/>
          <w:color w:val="333333"/>
          <w:spacing w:val="0"/>
          <w:sz w:val="32"/>
          <w:szCs w:val="32"/>
          <w:shd w:val="clear" w:fill="FFFFFF"/>
          <w:lang w:val="en-US" w:eastAsia="zh-CN"/>
        </w:rPr>
        <w:t>在职人员</w:t>
      </w:r>
      <w:r>
        <w:rPr>
          <w:rFonts w:hint="eastAsia" w:ascii="仿宋_GB2312" w:hAnsi="宋体" w:cs="仿宋_GB2312"/>
          <w:i w:val="0"/>
          <w:iCs w:val="0"/>
          <w:caps w:val="0"/>
          <w:color w:val="333333"/>
          <w:spacing w:val="0"/>
          <w:sz w:val="32"/>
          <w:szCs w:val="32"/>
          <w:shd w:val="clear" w:fill="FFFFFF"/>
          <w:lang w:val="en-US" w:eastAsia="zh-CN"/>
        </w:rPr>
        <w:t>增加</w:t>
      </w:r>
      <w:r>
        <w:rPr>
          <w:rFonts w:hint="eastAsia" w:ascii="仿宋_GB2312" w:hAnsi="宋体" w:eastAsia="仿宋_GB2312" w:cs="仿宋_GB2312"/>
          <w:i w:val="0"/>
          <w:iCs w:val="0"/>
          <w:caps w:val="0"/>
          <w:color w:val="333333"/>
          <w:spacing w:val="0"/>
          <w:sz w:val="32"/>
          <w:szCs w:val="32"/>
          <w:shd w:val="clear" w:fill="FFFFFF"/>
          <w:lang w:val="en-US" w:eastAsia="zh-CN"/>
        </w:rPr>
        <w:t>，人员经费以及公用经费相对应</w:t>
      </w:r>
      <w:r>
        <w:rPr>
          <w:rFonts w:hint="eastAsia" w:ascii="仿宋_GB2312" w:hAnsi="宋体" w:cs="仿宋_GB2312"/>
          <w:i w:val="0"/>
          <w:iCs w:val="0"/>
          <w:caps w:val="0"/>
          <w:color w:val="333333"/>
          <w:spacing w:val="0"/>
          <w:sz w:val="32"/>
          <w:szCs w:val="32"/>
          <w:shd w:val="clear" w:fill="FFFFFF"/>
          <w:lang w:val="en-US" w:eastAsia="zh-CN"/>
        </w:rPr>
        <w:t>增加</w:t>
      </w:r>
      <w:r>
        <w:rPr>
          <w:rFonts w:hint="default" w:ascii="仿宋_GB2312" w:hAnsi="宋体" w:eastAsia="仿宋_GB2312" w:cs="仿宋_GB2312"/>
          <w:i w:val="0"/>
          <w:iCs w:val="0"/>
          <w:caps w:val="0"/>
          <w:color w:val="333333"/>
          <w:spacing w:val="0"/>
          <w:sz w:val="32"/>
          <w:szCs w:val="32"/>
          <w:shd w:val="clear" w:fill="FFFFFF"/>
        </w:rPr>
        <w:t>。</w:t>
      </w:r>
    </w:p>
    <w:p w14:paraId="1114F36C">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（一）收入预算情况</w:t>
      </w:r>
    </w:p>
    <w:p w14:paraId="690468CE">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highlight w:val="none"/>
          <w:u w:val="none"/>
          <w:lang w:val="en-US" w:eastAsia="zh-CN"/>
        </w:rPr>
        <w:t>江油</w:t>
      </w:r>
      <w:r>
        <w:rPr>
          <w:rFonts w:hint="eastAsia"/>
          <w:highlight w:val="none"/>
          <w:u w:val="none"/>
          <w:lang w:val="en-US" w:eastAsia="zh-CN"/>
        </w:rPr>
        <w:t>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年收入预算1</w:t>
      </w:r>
      <w:r>
        <w:rPr>
          <w:rFonts w:hint="eastAsia"/>
          <w:highlight w:val="none"/>
          <w:u w:val="none"/>
          <w:lang w:val="en-US" w:eastAsia="zh-CN"/>
        </w:rPr>
        <w:t>,</w:t>
      </w:r>
      <w:r>
        <w:rPr>
          <w:rFonts w:hint="eastAsia" w:ascii="Times New Roman" w:hAnsi="Times New Roman"/>
          <w:highlight w:val="none"/>
          <w:u w:val="none"/>
        </w:rPr>
        <w:t>761.29万元，其中：上年结转</w:t>
      </w:r>
      <w:r>
        <w:rPr>
          <w:rFonts w:hint="eastAsia"/>
          <w:highlight w:val="none"/>
          <w:u w:val="none"/>
          <w:lang w:val="en-US" w:eastAsia="zh-CN"/>
        </w:rPr>
        <w:t>0</w:t>
      </w:r>
      <w:r>
        <w:rPr>
          <w:rFonts w:hint="eastAsia" w:ascii="Times New Roman" w:hAnsi="Times New Roman"/>
          <w:highlight w:val="none"/>
          <w:u w:val="none"/>
        </w:rPr>
        <w:t>万元，占</w:t>
      </w:r>
      <w:r>
        <w:rPr>
          <w:rFonts w:hint="eastAsia"/>
          <w:highlight w:val="none"/>
          <w:u w:val="none"/>
          <w:lang w:val="en-US" w:eastAsia="zh-CN"/>
        </w:rPr>
        <w:t>0</w:t>
      </w:r>
      <w:r>
        <w:rPr>
          <w:rFonts w:hint="eastAsia" w:ascii="Times New Roman" w:hAnsi="Times New Roman"/>
          <w:highlight w:val="none"/>
          <w:u w:val="none"/>
        </w:rPr>
        <w:t>%；一般公共预算拨款收入1</w:t>
      </w:r>
      <w:r>
        <w:rPr>
          <w:rFonts w:hint="eastAsia"/>
          <w:highlight w:val="none"/>
          <w:u w:val="none"/>
          <w:lang w:val="en-US" w:eastAsia="zh-CN"/>
        </w:rPr>
        <w:t>,</w:t>
      </w:r>
      <w:r>
        <w:rPr>
          <w:rFonts w:hint="eastAsia" w:ascii="Times New Roman" w:hAnsi="Times New Roman"/>
          <w:highlight w:val="none"/>
          <w:u w:val="none"/>
        </w:rPr>
        <w:t>761.29万元，占</w:t>
      </w:r>
      <w:r>
        <w:rPr>
          <w:rFonts w:hint="eastAsia"/>
          <w:highlight w:val="none"/>
          <w:u w:val="none"/>
          <w:lang w:val="en-US" w:eastAsia="zh-CN"/>
        </w:rPr>
        <w:t>1</w:t>
      </w:r>
      <w:r>
        <w:rPr>
          <w:rFonts w:hint="eastAsia"/>
          <w:highlight w:val="none"/>
          <w:u w:val="none"/>
          <w:lang w:val="en-US" w:eastAsia="zh-CN"/>
        </w:rPr>
        <w:t>00</w:t>
      </w:r>
      <w:r>
        <w:rPr>
          <w:rFonts w:hint="eastAsia" w:ascii="Times New Roman" w:hAnsi="Times New Roman"/>
          <w:highlight w:val="none"/>
          <w:u w:val="none"/>
        </w:rPr>
        <w:t>%。</w:t>
      </w:r>
    </w:p>
    <w:p w14:paraId="7B16F7B9">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（二）支出预算情况</w:t>
      </w:r>
    </w:p>
    <w:p w14:paraId="6437195E">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highlight w:val="none"/>
          <w:u w:val="none"/>
          <w:lang w:val="en-US" w:eastAsia="zh-CN"/>
        </w:rPr>
        <w:t>江油市人民检察院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年支出预算1</w:t>
      </w:r>
      <w:r>
        <w:rPr>
          <w:rFonts w:hint="eastAsia"/>
          <w:highlight w:val="none"/>
          <w:u w:val="none"/>
          <w:lang w:val="en-US" w:eastAsia="zh-CN"/>
        </w:rPr>
        <w:t>,</w:t>
      </w:r>
      <w:r>
        <w:rPr>
          <w:rFonts w:hint="eastAsia" w:ascii="Times New Roman" w:hAnsi="Times New Roman"/>
          <w:highlight w:val="none"/>
          <w:u w:val="none"/>
        </w:rPr>
        <w:t>761.29万元，其中：基本支出1,636.29万元，占</w:t>
      </w:r>
      <w:r>
        <w:rPr>
          <w:rFonts w:hint="eastAsia"/>
          <w:highlight w:val="none"/>
          <w:u w:val="none"/>
          <w:lang w:val="en-US" w:eastAsia="zh-CN"/>
        </w:rPr>
        <w:t>9</w:t>
      </w:r>
      <w:r>
        <w:rPr>
          <w:rFonts w:hint="eastAsia"/>
          <w:highlight w:val="none"/>
          <w:u w:val="none"/>
          <w:lang w:val="en-US" w:eastAsia="zh-CN"/>
        </w:rPr>
        <w:t>2.90</w:t>
      </w:r>
      <w:r>
        <w:rPr>
          <w:rFonts w:hint="eastAsia" w:ascii="Times New Roman" w:hAnsi="Times New Roman"/>
          <w:highlight w:val="none"/>
          <w:u w:val="none"/>
        </w:rPr>
        <w:t>%；项目支出</w:t>
      </w:r>
      <w:r>
        <w:rPr>
          <w:rFonts w:hint="eastAsia"/>
          <w:highlight w:val="none"/>
          <w:u w:val="none"/>
          <w:lang w:val="en-US" w:eastAsia="zh-CN"/>
        </w:rPr>
        <w:t>1</w:t>
      </w:r>
      <w:r>
        <w:rPr>
          <w:rFonts w:hint="eastAsia"/>
          <w:highlight w:val="none"/>
          <w:u w:val="none"/>
          <w:lang w:val="en-US" w:eastAsia="zh-CN"/>
        </w:rPr>
        <w:t>25</w:t>
      </w:r>
      <w:r>
        <w:rPr>
          <w:rFonts w:hint="eastAsia" w:ascii="Times New Roman" w:hAnsi="Times New Roman"/>
          <w:highlight w:val="none"/>
          <w:u w:val="none"/>
        </w:rPr>
        <w:t>万元，占</w:t>
      </w:r>
      <w:r>
        <w:rPr>
          <w:rFonts w:hint="eastAsia"/>
          <w:highlight w:val="none"/>
          <w:u w:val="none"/>
          <w:lang w:val="en-US" w:eastAsia="zh-CN"/>
        </w:rPr>
        <w:t>7</w:t>
      </w:r>
      <w:r>
        <w:rPr>
          <w:rFonts w:hint="eastAsia"/>
          <w:highlight w:val="none"/>
          <w:u w:val="none"/>
          <w:lang w:val="en-US" w:eastAsia="zh-CN"/>
        </w:rPr>
        <w:t>.10</w:t>
      </w:r>
      <w:r>
        <w:rPr>
          <w:rFonts w:hint="eastAsia" w:ascii="Times New Roman" w:hAnsi="Times New Roman"/>
          <w:highlight w:val="none"/>
          <w:u w:val="none"/>
        </w:rPr>
        <w:t>%。</w:t>
      </w:r>
    </w:p>
    <w:p w14:paraId="7945A583">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二</w:t>
      </w:r>
      <w:r>
        <w:rPr>
          <w:rFonts w:hint="eastAsia" w:ascii="Times New Roman" w:hAnsi="Times New Roman" w:eastAsia="黑体"/>
          <w:highlight w:val="none"/>
          <w:u w:val="none"/>
        </w:rPr>
        <w:t>、财政拨款收支预算情况说明</w:t>
      </w:r>
    </w:p>
    <w:p w14:paraId="19868B5D">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highlight w:val="none"/>
          <w:u w:val="none"/>
          <w:lang w:val="en-US" w:eastAsia="zh-CN"/>
        </w:rPr>
        <w:t>江油市人民检察院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年财政拨款收支总预算1</w:t>
      </w:r>
      <w:r>
        <w:rPr>
          <w:rFonts w:hint="eastAsia"/>
          <w:highlight w:val="none"/>
          <w:u w:val="none"/>
          <w:lang w:val="en-US" w:eastAsia="zh-CN"/>
        </w:rPr>
        <w:t>,</w:t>
      </w:r>
      <w:r>
        <w:rPr>
          <w:rFonts w:hint="eastAsia" w:ascii="Times New Roman" w:hAnsi="Times New Roman"/>
          <w:highlight w:val="none"/>
          <w:u w:val="none"/>
        </w:rPr>
        <w:t>761.29万元</w:t>
      </w:r>
      <w:r>
        <w:rPr>
          <w:rFonts w:hint="eastAsia" w:ascii="Times New Roman" w:hAnsi="Times New Roman"/>
          <w:highlight w:val="none"/>
          <w:u w:val="none"/>
          <w:lang w:eastAsia="zh-CN"/>
        </w:rPr>
        <w:t>，</w:t>
      </w:r>
      <w:r>
        <w:rPr>
          <w:rFonts w:hint="eastAsia" w:ascii="Times New Roman" w:hAnsi="Times New Roman"/>
          <w:highlight w:val="none"/>
          <w:u w:val="none"/>
          <w:lang w:val="en-US" w:eastAsia="zh-CN"/>
        </w:rPr>
        <w:t>较上年</w:t>
      </w:r>
      <w:r>
        <w:rPr>
          <w:rFonts w:hint="eastAsia" w:ascii="Times New Roman" w:hAnsi="Times New Roman"/>
          <w:highlight w:val="none"/>
          <w:u w:val="none"/>
        </w:rPr>
        <w:t>财政拨款收支总预算增加</w:t>
      </w:r>
      <w:r>
        <w:rPr>
          <w:rFonts w:hint="eastAsia"/>
          <w:highlight w:val="none"/>
          <w:u w:val="none"/>
          <w:lang w:val="en-US" w:eastAsia="zh-CN"/>
        </w:rPr>
        <w:t>59.93</w:t>
      </w:r>
      <w:r>
        <w:rPr>
          <w:rFonts w:hint="eastAsia" w:ascii="Times New Roman" w:hAnsi="Times New Roman"/>
          <w:highlight w:val="none"/>
          <w:u w:val="none"/>
        </w:rPr>
        <w:t>万元，主要原因是在职人员增加，人员经费以及公用经费相对应增加。</w:t>
      </w:r>
    </w:p>
    <w:p w14:paraId="37D0F2DA">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收入包括：本年一般公共预算拨款收入1</w:t>
      </w:r>
      <w:r>
        <w:rPr>
          <w:rFonts w:hint="eastAsia"/>
          <w:highlight w:val="none"/>
          <w:u w:val="none"/>
          <w:lang w:val="en-US" w:eastAsia="zh-CN"/>
        </w:rPr>
        <w:t>,</w:t>
      </w:r>
      <w:r>
        <w:rPr>
          <w:rFonts w:hint="eastAsia" w:ascii="Times New Roman" w:hAnsi="Times New Roman"/>
          <w:highlight w:val="none"/>
          <w:u w:val="none"/>
        </w:rPr>
        <w:t>761.29万元；支出包括：公共安全支出1</w:t>
      </w:r>
      <w:r>
        <w:rPr>
          <w:rFonts w:hint="eastAsia"/>
          <w:highlight w:val="none"/>
          <w:u w:val="none"/>
          <w:lang w:val="en-US" w:eastAsia="zh-CN"/>
        </w:rPr>
        <w:t>,</w:t>
      </w:r>
      <w:r>
        <w:rPr>
          <w:rFonts w:hint="eastAsia" w:ascii="Times New Roman" w:hAnsi="Times New Roman"/>
          <w:highlight w:val="none"/>
          <w:u w:val="none"/>
        </w:rPr>
        <w:t>446.98万元、社会保障和就业支出185.44万元、卫生健康支出36.14万元、住房保障支出92.72万元。</w:t>
      </w:r>
    </w:p>
    <w:p w14:paraId="2800E0F8">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三</w:t>
      </w:r>
      <w:r>
        <w:rPr>
          <w:rFonts w:hint="eastAsia" w:ascii="Times New Roman" w:hAnsi="Times New Roman" w:eastAsia="黑体"/>
          <w:highlight w:val="none"/>
          <w:u w:val="none"/>
        </w:rPr>
        <w:t>、一般公共预算当年拨款情况说明</w:t>
      </w:r>
    </w:p>
    <w:p w14:paraId="449AAADE">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（一）一般公共预算当年拨款规模变化情况</w:t>
      </w:r>
    </w:p>
    <w:p w14:paraId="7BA5B769">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highlight w:val="none"/>
          <w:u w:val="none"/>
          <w:lang w:val="en-US" w:eastAsia="zh-CN"/>
        </w:rPr>
        <w:t>江油市人民检察院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年一般公共预算当年拨款1</w:t>
      </w:r>
      <w:r>
        <w:rPr>
          <w:rFonts w:hint="eastAsia"/>
          <w:highlight w:val="none"/>
          <w:u w:val="none"/>
          <w:lang w:val="en-US" w:eastAsia="zh-CN"/>
        </w:rPr>
        <w:t>,</w:t>
      </w:r>
      <w:r>
        <w:rPr>
          <w:rFonts w:hint="eastAsia" w:ascii="Times New Roman" w:hAnsi="Times New Roman"/>
          <w:highlight w:val="none"/>
          <w:u w:val="none"/>
        </w:rPr>
        <w:t>761.29万元，</w:t>
      </w:r>
      <w:r>
        <w:rPr>
          <w:rFonts w:hint="eastAsia" w:ascii="Times New Roman" w:hAnsi="Times New Roman"/>
          <w:highlight w:val="none"/>
          <w:u w:val="none"/>
          <w:lang w:val="en-US" w:eastAsia="zh-CN"/>
        </w:rPr>
        <w:t>较上年</w:t>
      </w:r>
      <w:r>
        <w:rPr>
          <w:rFonts w:hint="eastAsia" w:ascii="Times New Roman" w:hAnsi="Times New Roman"/>
          <w:highlight w:val="none"/>
          <w:u w:val="none"/>
        </w:rPr>
        <w:t>预算数增加59.93万元，主要原因是在职人员增加，人员经费以及公用经费相对应增加。</w:t>
      </w:r>
    </w:p>
    <w:p w14:paraId="7376BD75">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（二）一般公共预算当年拨款结构情况</w:t>
      </w:r>
    </w:p>
    <w:p w14:paraId="03650592">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highlight w:val="none"/>
          <w:u w:val="none"/>
          <w:lang w:val="en-US" w:eastAsia="zh-CN"/>
        </w:rPr>
      </w:pPr>
      <w:r>
        <w:rPr>
          <w:rFonts w:hint="eastAsia"/>
          <w:highlight w:val="none"/>
          <w:u w:val="none"/>
          <w:lang w:val="en-US" w:eastAsia="zh-CN"/>
        </w:rPr>
        <w:t>公共安全支出1,446.98万元，占82.15%；社会保障和就业支出185.44万元，占10.53%；卫生健康支出36.14万元，占2.05%；住房保障支出92.72万元，占5.26%。</w:t>
      </w:r>
    </w:p>
    <w:p w14:paraId="1B683A97">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lang w:val="en-US" w:eastAsia="zh-CN"/>
        </w:rPr>
      </w:pPr>
      <w:r>
        <w:rPr>
          <w:rFonts w:hint="eastAsia" w:ascii="Times New Roman" w:hAnsi="Times New Roman" w:eastAsia="楷体_GB2312"/>
          <w:b/>
          <w:highlight w:val="none"/>
          <w:u w:val="none"/>
          <w:lang w:val="en-US" w:eastAsia="zh-CN"/>
        </w:rPr>
        <w:t>（三）一般公共预算当年拨款具体使用情况</w:t>
      </w:r>
    </w:p>
    <w:p w14:paraId="7462DB22">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1.公共安全（类）检察（款）行政运行（项）202</w:t>
      </w:r>
      <w:r>
        <w:rPr>
          <w:rFonts w:hint="eastAsia"/>
          <w:highlight w:val="none"/>
          <w:u w:val="none"/>
          <w:lang w:val="en-US" w:eastAsia="zh-CN"/>
        </w:rPr>
        <w:t>5</w:t>
      </w:r>
      <w:r>
        <w:rPr>
          <w:rFonts w:hint="eastAsia" w:ascii="Times New Roman" w:hAnsi="Times New Roman"/>
          <w:highlight w:val="none"/>
          <w:u w:val="none"/>
          <w:lang w:val="en-US" w:eastAsia="zh-CN"/>
        </w:rPr>
        <w:t>年预算数为1</w:t>
      </w:r>
      <w:r>
        <w:rPr>
          <w:rFonts w:hint="eastAsia"/>
          <w:highlight w:val="none"/>
          <w:u w:val="none"/>
          <w:lang w:val="en-US" w:eastAsia="zh-CN"/>
        </w:rPr>
        <w:t>,</w:t>
      </w:r>
      <w:r>
        <w:rPr>
          <w:rFonts w:hint="eastAsia" w:ascii="Times New Roman" w:hAnsi="Times New Roman"/>
          <w:highlight w:val="none"/>
          <w:u w:val="none"/>
          <w:lang w:val="en-US" w:eastAsia="zh-CN"/>
        </w:rPr>
        <w:t>321.98万元，主要用于：本院干警在职人员工资津贴支出、日常办公经费开支等支出。</w:t>
      </w:r>
    </w:p>
    <w:p w14:paraId="2723B083">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2.公共安全支出（类）检察（款）一般行政管理事务（项）</w:t>
      </w:r>
      <w:r>
        <w:rPr>
          <w:rFonts w:hint="eastAsia"/>
          <w:highlight w:val="none"/>
          <w:u w:val="none"/>
          <w:lang w:val="en-US" w:eastAsia="zh-CN"/>
        </w:rPr>
        <w:t>2025</w:t>
      </w:r>
      <w:r>
        <w:rPr>
          <w:rFonts w:hint="eastAsia" w:ascii="Times New Roman" w:hAnsi="Times New Roman"/>
          <w:highlight w:val="none"/>
          <w:u w:val="none"/>
          <w:lang w:val="en-US" w:eastAsia="zh-CN"/>
        </w:rPr>
        <w:t>年预算数为125.00万元，主要用于：检察院未单独设置项级科目的其他项目支出，如检察院业务经费、网络运行维护费等。</w:t>
      </w:r>
    </w:p>
    <w:p w14:paraId="23785853">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3.社会保障和就业支出（类）行政事业单位离退休（款）机关事业单位基本养老保险缴费支出（项）</w:t>
      </w:r>
      <w:r>
        <w:rPr>
          <w:rFonts w:hint="eastAsia"/>
          <w:highlight w:val="none"/>
          <w:u w:val="none"/>
          <w:lang w:val="en-US" w:eastAsia="zh-CN"/>
        </w:rPr>
        <w:t>2025</w:t>
      </w:r>
      <w:r>
        <w:rPr>
          <w:rFonts w:hint="eastAsia" w:ascii="Times New Roman" w:hAnsi="Times New Roman"/>
          <w:highlight w:val="none"/>
          <w:u w:val="none"/>
          <w:lang w:val="en-US" w:eastAsia="zh-CN"/>
        </w:rPr>
        <w:t>年预算数为123.63万元，主要用于：机关事业单位实施养老保险制度由单位缴纳的基本养老保险费用支出。</w:t>
      </w:r>
    </w:p>
    <w:p w14:paraId="05B586DC">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4.社会保障和就业支出（类）行政事业单位离退休（款）机关事业单位职业年金缴费支出（项）:</w:t>
      </w:r>
      <w:r>
        <w:rPr>
          <w:rFonts w:hint="eastAsia"/>
          <w:highlight w:val="none"/>
          <w:u w:val="none"/>
          <w:lang w:val="en-US" w:eastAsia="zh-CN"/>
        </w:rPr>
        <w:t>2025</w:t>
      </w:r>
      <w:r>
        <w:rPr>
          <w:rFonts w:hint="eastAsia" w:ascii="Times New Roman" w:hAnsi="Times New Roman"/>
          <w:highlight w:val="none"/>
          <w:u w:val="none"/>
          <w:lang w:val="en-US" w:eastAsia="zh-CN"/>
        </w:rPr>
        <w:t>年预算数为61.81万元，主要用于：机关事业单位实施养老保险制度由单位缴纳的干警职业年金费用支出。</w:t>
      </w:r>
    </w:p>
    <w:p w14:paraId="51E5928D">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5.卫生健康支出（类）计划生育事务（款）其他计划生育事务支出（项）</w:t>
      </w:r>
      <w:r>
        <w:rPr>
          <w:rFonts w:hint="eastAsia"/>
          <w:highlight w:val="none"/>
          <w:u w:val="none"/>
          <w:lang w:val="en-US" w:eastAsia="zh-CN"/>
        </w:rPr>
        <w:t>2025</w:t>
      </w:r>
      <w:r>
        <w:rPr>
          <w:rFonts w:hint="eastAsia" w:ascii="Times New Roman" w:hAnsi="Times New Roman"/>
          <w:highlight w:val="none"/>
          <w:u w:val="none"/>
          <w:lang w:val="en-US" w:eastAsia="zh-CN"/>
        </w:rPr>
        <w:t>年预算数为0.06万元，主要用于：检察院干警独生子女奖励金，计划生育奖励金。</w:t>
      </w:r>
    </w:p>
    <w:p w14:paraId="2A9688AB">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6.医疗卫生与计划生育支出（类）行政事业单位医疗（款）行政单位医疗（项）</w:t>
      </w:r>
      <w:r>
        <w:rPr>
          <w:rFonts w:hint="eastAsia"/>
          <w:highlight w:val="none"/>
          <w:u w:val="none"/>
          <w:lang w:val="en-US" w:eastAsia="zh-CN"/>
        </w:rPr>
        <w:t>2025</w:t>
      </w:r>
      <w:r>
        <w:rPr>
          <w:rFonts w:hint="eastAsia" w:ascii="Times New Roman" w:hAnsi="Times New Roman"/>
          <w:highlight w:val="none"/>
          <w:u w:val="none"/>
          <w:lang w:val="en-US" w:eastAsia="zh-CN"/>
        </w:rPr>
        <w:t>年预算数为36.08万元，主要用于：指财政部门集中安排的行政单位医疗保险缴费经费。</w:t>
      </w:r>
    </w:p>
    <w:p w14:paraId="6BA55825">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lang w:val="en-US" w:eastAsia="zh-CN"/>
        </w:rPr>
      </w:pPr>
      <w:r>
        <w:rPr>
          <w:rFonts w:hint="eastAsia" w:ascii="Times New Roman" w:hAnsi="Times New Roman"/>
          <w:highlight w:val="none"/>
          <w:u w:val="none"/>
          <w:lang w:val="en-US" w:eastAsia="zh-CN"/>
        </w:rPr>
        <w:t>7.住房保障（类）住房改革支出（款）住房公积金（项）</w:t>
      </w:r>
      <w:r>
        <w:rPr>
          <w:rFonts w:hint="eastAsia"/>
          <w:highlight w:val="none"/>
          <w:u w:val="none"/>
          <w:lang w:val="en-US" w:eastAsia="zh-CN"/>
        </w:rPr>
        <w:t>2025</w:t>
      </w:r>
      <w:r>
        <w:rPr>
          <w:rFonts w:hint="eastAsia" w:ascii="Times New Roman" w:hAnsi="Times New Roman"/>
          <w:highlight w:val="none"/>
          <w:u w:val="none"/>
          <w:lang w:val="en-US" w:eastAsia="zh-CN"/>
        </w:rPr>
        <w:t>年预算数为92.72万元，主要用于：按人力资源和社会保障部、财政部规定的基本工资和津贴补贴以及规定比例为职工缴纳的住房公积金。</w:t>
      </w:r>
    </w:p>
    <w:p w14:paraId="1B4F9FDA">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四</w:t>
      </w:r>
      <w:r>
        <w:rPr>
          <w:rFonts w:hint="eastAsia" w:ascii="Times New Roman" w:hAnsi="Times New Roman" w:eastAsia="黑体"/>
          <w:highlight w:val="none"/>
          <w:u w:val="none"/>
        </w:rPr>
        <w:t>、一般公共预算基本支出情况说明</w:t>
      </w:r>
    </w:p>
    <w:p w14:paraId="0E0A7228">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lang w:eastAsia="zh-CN"/>
        </w:rPr>
        <w:t>江油市人民检察院部门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年一般公共预算基本支出</w:t>
      </w:r>
      <w:r>
        <w:rPr>
          <w:rFonts w:hint="eastAsia" w:ascii="Times New Roman" w:hAnsi="Times New Roman"/>
          <w:highlight w:val="none"/>
          <w:u w:val="none"/>
        </w:rPr>
        <w:t>1</w:t>
      </w:r>
      <w:r>
        <w:rPr>
          <w:rFonts w:hint="eastAsia"/>
          <w:highlight w:val="none"/>
          <w:u w:val="none"/>
          <w:lang w:val="en-US" w:eastAsia="zh-CN"/>
        </w:rPr>
        <w:t>,</w:t>
      </w:r>
      <w:r>
        <w:rPr>
          <w:rFonts w:hint="eastAsia" w:ascii="Times New Roman" w:hAnsi="Times New Roman"/>
          <w:highlight w:val="none"/>
          <w:u w:val="none"/>
        </w:rPr>
        <w:t>636.29</w:t>
      </w:r>
      <w:r>
        <w:rPr>
          <w:rFonts w:hint="eastAsia" w:ascii="Times New Roman" w:hAnsi="Times New Roman"/>
          <w:highlight w:val="none"/>
          <w:u w:val="none"/>
        </w:rPr>
        <w:t>万元，其中：</w:t>
      </w:r>
    </w:p>
    <w:p w14:paraId="11996A29">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人员经费1334.71万元，主要包括：基本工资、津贴补贴、奖金、机关事业单位基本养老保险缴费、职业年金缴费、 职工基本医疗保险缴费、其他社会保障缴费、住房公积金、其他工资福利支出、住房公积金、其他对个人和家庭的补助支出。</w:t>
      </w:r>
    </w:p>
    <w:p w14:paraId="38849945">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公用经费301.58万元，主要包括：办公费、水费、电费、邮电费、差旅费、维修（护）费、培训费、劳务费、工会经费、福利费、其他交通费、其他商品和服务支出。</w:t>
      </w:r>
    </w:p>
    <w:p w14:paraId="79FD8932">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五</w:t>
      </w:r>
      <w:r>
        <w:rPr>
          <w:rFonts w:hint="eastAsia" w:ascii="Times New Roman" w:hAnsi="Times New Roman" w:eastAsia="黑体"/>
          <w:highlight w:val="none"/>
          <w:u w:val="none"/>
        </w:rPr>
        <w:t>、“三公”经费财政拨款预算安排情况说明</w:t>
      </w:r>
    </w:p>
    <w:p w14:paraId="708C7156">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highlight w:val="none"/>
          <w:u w:val="none"/>
          <w:lang w:val="en-US" w:eastAsia="zh-CN"/>
        </w:rPr>
        <w:t>江油市人民检察院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年“三公”经费财政拨款预算数</w:t>
      </w:r>
      <w:r>
        <w:rPr>
          <w:rFonts w:hint="eastAsia" w:ascii="Times New Roman" w:hAnsi="Times New Roman"/>
          <w:highlight w:val="none"/>
          <w:u w:val="none"/>
        </w:rPr>
        <w:t>28.69</w:t>
      </w:r>
      <w:r>
        <w:rPr>
          <w:rFonts w:hint="eastAsia" w:ascii="Times New Roman" w:hAnsi="Times New Roman"/>
          <w:highlight w:val="none"/>
          <w:u w:val="none"/>
        </w:rPr>
        <w:t>万元，其中：公务接待费</w:t>
      </w:r>
      <w:r>
        <w:rPr>
          <w:rFonts w:hint="eastAsia" w:ascii="Times New Roman" w:hAnsi="Times New Roman"/>
          <w:highlight w:val="none"/>
          <w:u w:val="none"/>
        </w:rPr>
        <w:t>3.69</w:t>
      </w:r>
      <w:r>
        <w:rPr>
          <w:rFonts w:hint="eastAsia" w:ascii="Times New Roman" w:hAnsi="Times New Roman"/>
          <w:highlight w:val="none"/>
          <w:u w:val="none"/>
        </w:rPr>
        <w:t>万元，公务用车购置及运行维护费</w:t>
      </w:r>
      <w:r>
        <w:rPr>
          <w:rFonts w:hint="eastAsia"/>
          <w:highlight w:val="none"/>
          <w:u w:val="none"/>
          <w:lang w:val="en-US" w:eastAsia="zh-CN"/>
        </w:rPr>
        <w:t>2</w:t>
      </w:r>
      <w:r>
        <w:rPr>
          <w:rFonts w:hint="eastAsia"/>
          <w:highlight w:val="none"/>
          <w:u w:val="none"/>
          <w:lang w:val="en-US" w:eastAsia="zh-CN"/>
        </w:rPr>
        <w:t>5</w:t>
      </w:r>
      <w:r>
        <w:rPr>
          <w:rFonts w:hint="eastAsia" w:ascii="Times New Roman" w:hAnsi="Times New Roman"/>
          <w:highlight w:val="none"/>
          <w:u w:val="none"/>
        </w:rPr>
        <w:t>万元</w:t>
      </w:r>
      <w:r>
        <w:rPr>
          <w:rFonts w:hint="eastAsia" w:ascii="Times New Roman" w:hAnsi="Times New Roman"/>
          <w:highlight w:val="none"/>
          <w:u w:val="none"/>
          <w:lang w:eastAsia="zh-CN"/>
        </w:rPr>
        <w:t>，</w:t>
      </w:r>
      <w:r>
        <w:rPr>
          <w:rFonts w:hint="eastAsia" w:ascii="Times New Roman" w:hAnsi="Times New Roman"/>
          <w:highlight w:val="none"/>
          <w:u w:val="none"/>
          <w:lang w:val="en-US" w:eastAsia="zh-CN"/>
        </w:rPr>
        <w:t>无因公出国（境）经费。</w:t>
      </w:r>
    </w:p>
    <w:p w14:paraId="5A745B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Times New Roman" w:hAnsi="Times New Roman" w:eastAsia="楷体_GB2312"/>
          <w:b/>
          <w:highlight w:val="none"/>
          <w:u w:val="none"/>
        </w:rPr>
        <w:t>（</w:t>
      </w:r>
      <w:r>
        <w:rPr>
          <w:rFonts w:hint="eastAsia" w:ascii="Times New Roman" w:hAnsi="Times New Roman" w:eastAsia="楷体_GB2312"/>
          <w:b/>
          <w:highlight w:val="none"/>
          <w:u w:val="none"/>
          <w:lang w:val="en-US" w:eastAsia="zh-CN"/>
        </w:rPr>
        <w:t>一</w:t>
      </w:r>
      <w:r>
        <w:rPr>
          <w:rFonts w:hint="eastAsia" w:ascii="Times New Roman" w:hAnsi="Times New Roman" w:eastAsia="楷体_GB2312"/>
          <w:b/>
          <w:highlight w:val="none"/>
          <w:u w:val="none"/>
          <w:lang w:eastAsia="zh-CN"/>
        </w:rPr>
        <w:t>）</w:t>
      </w:r>
      <w:r>
        <w:rPr>
          <w:rFonts w:hint="eastAsia" w:ascii="Times New Roman" w:hAnsi="Times New Roman" w:eastAsia="楷体_GB2312"/>
          <w:b/>
          <w:highlight w:val="none"/>
          <w:u w:val="none"/>
        </w:rPr>
        <w:t>公务接待费较</w:t>
      </w:r>
      <w:r>
        <w:rPr>
          <w:rFonts w:hint="eastAsia" w:ascii="Times New Roman" w:hAnsi="Times New Roman" w:eastAsia="楷体_GB2312"/>
          <w:b/>
          <w:highlight w:val="none"/>
          <w:u w:val="none"/>
          <w:lang w:val="en-US" w:eastAsia="zh-CN"/>
        </w:rPr>
        <w:t>上</w:t>
      </w:r>
      <w:r>
        <w:rPr>
          <w:rFonts w:hint="eastAsia" w:ascii="Times New Roman" w:hAnsi="Times New Roman" w:eastAsia="楷体_GB2312"/>
          <w:b/>
          <w:highlight w:val="none"/>
          <w:u w:val="none"/>
        </w:rPr>
        <w:t>年与</w:t>
      </w:r>
      <w:r>
        <w:rPr>
          <w:rFonts w:hint="eastAsia" w:ascii="Times New Roman" w:hAnsi="Times New Roman" w:eastAsia="楷体_GB2312"/>
          <w:b/>
          <w:highlight w:val="none"/>
          <w:u w:val="none"/>
          <w:lang w:val="en-US" w:eastAsia="zh-CN"/>
        </w:rPr>
        <w:t>上</w:t>
      </w:r>
      <w:r>
        <w:rPr>
          <w:rFonts w:hint="eastAsia" w:ascii="Times New Roman" w:hAnsi="Times New Roman" w:eastAsia="楷体_GB2312"/>
          <w:b/>
          <w:highlight w:val="none"/>
          <w:u w:val="none"/>
        </w:rPr>
        <w:t>年预算持平。</w:t>
      </w:r>
      <w:r>
        <w:rPr>
          <w:rFonts w:ascii="仿宋_GB2312" w:hAnsi="微软雅黑" w:eastAsia="仿宋_GB2312" w:cs="仿宋_GB2312"/>
          <w:i w:val="0"/>
          <w:iCs w:val="0"/>
          <w:caps w:val="0"/>
          <w:color w:val="333333"/>
          <w:spacing w:val="0"/>
          <w:kern w:val="0"/>
          <w:sz w:val="32"/>
          <w:szCs w:val="32"/>
          <w:shd w:val="clear" w:fill="FFFFFF"/>
          <w:lang w:val="en-US" w:eastAsia="zh-CN" w:bidi="ar"/>
        </w:rPr>
        <w:t>主要原因是认真贯彻落实中央八项规定、省委省政府十项规定及市委市府相关规定的要求，严格控制接待规模及接待标准。</w:t>
      </w:r>
    </w:p>
    <w:p w14:paraId="36898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Times New Roman" w:hAnsi="Times New Roman"/>
          <w:highlight w:val="none"/>
          <w:u w:val="none"/>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w:t>
      </w:r>
      <w:r>
        <w:rPr>
          <w:rFonts w:hint="eastAsia"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年公务接待费计划用于</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一般公务接待。</w:t>
      </w:r>
    </w:p>
    <w:p w14:paraId="736569EE">
      <w:pPr>
        <w:keepNext w:val="0"/>
        <w:keepLines w:val="0"/>
        <w:pageBreakBefore w:val="0"/>
        <w:widowControl w:val="0"/>
        <w:kinsoku/>
        <w:wordWrap/>
        <w:overflowPunct/>
        <w:topLinePunct w:val="0"/>
        <w:autoSpaceDE/>
        <w:autoSpaceDN/>
        <w:bidi w:val="0"/>
        <w:adjustRightInd/>
        <w:snapToGrid/>
        <w:spacing w:beforeLines="0" w:line="560" w:lineRule="exact"/>
        <w:ind w:firstLine="640"/>
        <w:jc w:val="both"/>
        <w:textAlignment w:val="auto"/>
        <w:rPr>
          <w:rFonts w:hint="eastAsia" w:ascii="Times New Roman" w:hAnsi="Times New Roman" w:eastAsia="黑体"/>
          <w:b/>
          <w:highlight w:val="none"/>
          <w:u w:val="none"/>
        </w:rPr>
      </w:pPr>
      <w:r>
        <w:rPr>
          <w:rFonts w:hint="eastAsia" w:ascii="Times New Roman" w:hAnsi="Times New Roman" w:eastAsia="楷体_GB2312"/>
          <w:b/>
          <w:highlight w:val="none"/>
          <w:u w:val="none"/>
        </w:rPr>
        <w:t>（</w:t>
      </w:r>
      <w:r>
        <w:rPr>
          <w:rFonts w:hint="eastAsia" w:ascii="Times New Roman" w:hAnsi="Times New Roman" w:eastAsia="楷体_GB2312"/>
          <w:b/>
          <w:highlight w:val="none"/>
          <w:u w:val="none"/>
          <w:lang w:val="en-US" w:eastAsia="zh-CN"/>
        </w:rPr>
        <w:t>二</w:t>
      </w:r>
      <w:r>
        <w:rPr>
          <w:rFonts w:hint="eastAsia" w:ascii="Times New Roman" w:hAnsi="Times New Roman" w:eastAsia="楷体_GB2312"/>
          <w:b/>
          <w:highlight w:val="none"/>
          <w:u w:val="none"/>
        </w:rPr>
        <w:t>）公务用车购置及运行维护费与</w:t>
      </w:r>
      <w:r>
        <w:rPr>
          <w:rFonts w:hint="eastAsia" w:ascii="Times New Roman" w:hAnsi="Times New Roman" w:eastAsia="楷体_GB2312"/>
          <w:b/>
          <w:highlight w:val="none"/>
          <w:u w:val="none"/>
          <w:lang w:val="en-US" w:eastAsia="zh-CN"/>
        </w:rPr>
        <w:t>上</w:t>
      </w:r>
      <w:r>
        <w:rPr>
          <w:rFonts w:hint="eastAsia" w:ascii="Times New Roman" w:hAnsi="Times New Roman" w:eastAsia="楷体_GB2312"/>
          <w:b/>
          <w:highlight w:val="none"/>
          <w:u w:val="none"/>
        </w:rPr>
        <w:t>年预算持平。</w:t>
      </w:r>
      <w:r>
        <w:rPr>
          <w:rFonts w:hint="eastAsia" w:ascii="Times New Roman" w:hAnsi="Times New Roman"/>
          <w:highlight w:val="none"/>
          <w:u w:val="none"/>
        </w:rPr>
        <w:t>主要原因是市本级公务用车购置经费实行总额控制、集中管理，公务用车购置经费年初预算在市财政专项预算中预留安排。执行中，市财政局会同市机关事务管理局根据经批准的公务用车购置计划，按程序报批后下达预算。</w:t>
      </w:r>
    </w:p>
    <w:p w14:paraId="4A49567D">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eastAsia" w:ascii="Times New Roman" w:hAnsi="Times New Roman"/>
          <w:highlight w:val="none"/>
        </w:rPr>
      </w:pPr>
      <w:r>
        <w:rPr>
          <w:rFonts w:hint="eastAsia" w:ascii="Times New Roman" w:hAnsi="Times New Roman"/>
          <w:highlight w:val="none"/>
          <w:lang w:eastAsia="zh-CN"/>
        </w:rPr>
        <w:t>部门</w:t>
      </w:r>
      <w:r>
        <w:rPr>
          <w:rFonts w:hint="eastAsia" w:ascii="Times New Roman" w:hAnsi="Times New Roman"/>
          <w:highlight w:val="none"/>
        </w:rPr>
        <w:t>现有公务用车</w:t>
      </w:r>
      <w:r>
        <w:rPr>
          <w:rFonts w:hint="eastAsia"/>
          <w:highlight w:val="none"/>
          <w:lang w:val="en-US" w:eastAsia="zh-CN"/>
        </w:rPr>
        <w:t>9</w:t>
      </w:r>
      <w:r>
        <w:rPr>
          <w:rFonts w:hint="eastAsia" w:ascii="Times New Roman" w:hAnsi="Times New Roman"/>
          <w:highlight w:val="none"/>
        </w:rPr>
        <w:t>辆，其中：轿车</w:t>
      </w:r>
      <w:r>
        <w:rPr>
          <w:rFonts w:hint="eastAsia"/>
          <w:highlight w:val="none"/>
          <w:lang w:val="en-US" w:eastAsia="zh-CN"/>
        </w:rPr>
        <w:t>6</w:t>
      </w:r>
      <w:r>
        <w:rPr>
          <w:rFonts w:hint="eastAsia" w:ascii="Times New Roman" w:hAnsi="Times New Roman"/>
          <w:highlight w:val="none"/>
        </w:rPr>
        <w:t>辆，越野车</w:t>
      </w:r>
      <w:r>
        <w:rPr>
          <w:rFonts w:hint="eastAsia"/>
          <w:highlight w:val="none"/>
          <w:lang w:val="en-US" w:eastAsia="zh-CN"/>
        </w:rPr>
        <w:t>2</w:t>
      </w:r>
      <w:r>
        <w:rPr>
          <w:rFonts w:hint="eastAsia" w:ascii="Times New Roman" w:hAnsi="Times New Roman"/>
          <w:highlight w:val="none"/>
        </w:rPr>
        <w:t>辆，</w:t>
      </w:r>
      <w:r>
        <w:rPr>
          <w:rFonts w:hint="eastAsia"/>
          <w:highlight w:val="none"/>
          <w:lang w:val="en-US" w:eastAsia="zh-CN"/>
        </w:rPr>
        <w:t>中</w:t>
      </w:r>
      <w:r>
        <w:rPr>
          <w:rFonts w:hint="eastAsia" w:ascii="Times New Roman" w:hAnsi="Times New Roman"/>
          <w:highlight w:val="none"/>
        </w:rPr>
        <w:t>型客车</w:t>
      </w:r>
      <w:r>
        <w:rPr>
          <w:rFonts w:hint="eastAsia"/>
          <w:highlight w:val="none"/>
          <w:lang w:val="en-US" w:eastAsia="zh-CN"/>
        </w:rPr>
        <w:t>1</w:t>
      </w:r>
      <w:r>
        <w:rPr>
          <w:rFonts w:hint="eastAsia" w:ascii="Times New Roman" w:hAnsi="Times New Roman"/>
          <w:highlight w:val="none"/>
        </w:rPr>
        <w:t>辆。20</w:t>
      </w:r>
      <w:r>
        <w:rPr>
          <w:rFonts w:hint="eastAsia" w:ascii="Times New Roman" w:hAnsi="Times New Roman"/>
          <w:highlight w:val="none"/>
          <w:lang w:val="en-US" w:eastAsia="zh-CN"/>
        </w:rPr>
        <w:t>2</w:t>
      </w:r>
      <w:r>
        <w:rPr>
          <w:rFonts w:hint="eastAsia"/>
          <w:highlight w:val="none"/>
          <w:lang w:val="en-US" w:eastAsia="zh-CN"/>
        </w:rPr>
        <w:t>5</w:t>
      </w:r>
      <w:r>
        <w:rPr>
          <w:rFonts w:hint="eastAsia" w:ascii="Times New Roman" w:hAnsi="Times New Roman"/>
          <w:highlight w:val="none"/>
        </w:rPr>
        <w:t>年安排公务用车运行维护费</w:t>
      </w:r>
      <w:r>
        <w:rPr>
          <w:rFonts w:hint="eastAsia"/>
          <w:highlight w:val="none"/>
          <w:lang w:val="en-US" w:eastAsia="zh-CN"/>
        </w:rPr>
        <w:t>25</w:t>
      </w:r>
      <w:r>
        <w:rPr>
          <w:rFonts w:hint="eastAsia" w:ascii="Times New Roman" w:hAnsi="Times New Roman"/>
          <w:highlight w:val="none"/>
        </w:rPr>
        <w:t>万元，用于</w:t>
      </w:r>
      <w:r>
        <w:rPr>
          <w:rFonts w:hint="eastAsia"/>
          <w:highlight w:val="none"/>
          <w:lang w:val="en-US" w:eastAsia="zh-CN"/>
        </w:rPr>
        <w:t>9</w:t>
      </w:r>
      <w:r>
        <w:rPr>
          <w:rFonts w:hint="eastAsia" w:ascii="Times New Roman" w:hAnsi="Times New Roman"/>
          <w:highlight w:val="none"/>
        </w:rPr>
        <w:t>辆公务用车</w:t>
      </w:r>
      <w:r>
        <w:rPr>
          <w:rFonts w:hint="eastAsia" w:ascii="Times New Roman" w:hAnsi="Times New Roman"/>
          <w:highlight w:val="none"/>
          <w:u w:val="none"/>
        </w:rPr>
        <w:t>燃油、维修、保险</w:t>
      </w:r>
      <w:r>
        <w:rPr>
          <w:rFonts w:hint="eastAsia" w:ascii="Times New Roman" w:hAnsi="Times New Roman"/>
          <w:highlight w:val="none"/>
        </w:rPr>
        <w:t>等方面支出，主要保障检察业务工作办理，提起国家公诉等工作开展。</w:t>
      </w:r>
    </w:p>
    <w:p w14:paraId="2050D06F">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六</w:t>
      </w:r>
      <w:r>
        <w:rPr>
          <w:rFonts w:hint="eastAsia" w:ascii="Times New Roman" w:hAnsi="Times New Roman" w:eastAsia="黑体"/>
          <w:highlight w:val="none"/>
          <w:u w:val="none"/>
        </w:rPr>
        <w:t>、政府性基金预算支出情况说明</w:t>
      </w:r>
    </w:p>
    <w:p w14:paraId="2D1FF9F1">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Times New Roman" w:hAnsi="Times New Roman"/>
          <w:highlight w:val="none"/>
        </w:rPr>
      </w:pPr>
      <w:r>
        <w:rPr>
          <w:rFonts w:ascii="仿宋_GB2312" w:hAnsi="宋体" w:eastAsia="仿宋_GB2312" w:cs="仿宋_GB2312"/>
          <w:i w:val="0"/>
          <w:iCs w:val="0"/>
          <w:caps w:val="0"/>
          <w:color w:val="333333"/>
          <w:spacing w:val="0"/>
          <w:sz w:val="32"/>
          <w:szCs w:val="32"/>
          <w:shd w:val="clear" w:fill="FFFFFF"/>
        </w:rPr>
        <w:t>江油市人民检察院</w:t>
      </w:r>
      <w:r>
        <w:rPr>
          <w:rFonts w:hint="eastAsia" w:ascii="仿宋_GB2312" w:hAnsi="宋体" w:cs="仿宋_GB2312"/>
          <w:i w:val="0"/>
          <w:iCs w:val="0"/>
          <w:caps w:val="0"/>
          <w:color w:val="333333"/>
          <w:spacing w:val="0"/>
          <w:sz w:val="32"/>
          <w:szCs w:val="32"/>
          <w:shd w:val="clear" w:fill="FFFFFF"/>
          <w:lang w:val="en-US" w:eastAsia="zh-CN"/>
        </w:rPr>
        <w:t>部门</w:t>
      </w:r>
      <w:r>
        <w:rPr>
          <w:rFonts w:hint="default" w:ascii="Times New Roman" w:hAnsi="Times New Roman" w:eastAsia="仿宋_GB2312" w:cs="Times New Roman"/>
          <w:i w:val="0"/>
          <w:iCs w:val="0"/>
          <w:caps w:val="0"/>
          <w:color w:val="333333"/>
          <w:spacing w:val="0"/>
          <w:sz w:val="32"/>
          <w:szCs w:val="32"/>
          <w:shd w:val="clear" w:fill="FFFFFF"/>
        </w:rPr>
        <w:t>202</w:t>
      </w:r>
      <w:r>
        <w:rPr>
          <w:rFonts w:hint="eastAsia" w:cs="Times New Roman"/>
          <w:i w:val="0"/>
          <w:iCs w:val="0"/>
          <w:caps w:val="0"/>
          <w:color w:val="333333"/>
          <w:spacing w:val="0"/>
          <w:sz w:val="32"/>
          <w:szCs w:val="32"/>
          <w:shd w:val="clear" w:fill="FFFFFF"/>
          <w:lang w:val="en-US" w:eastAsia="zh-CN"/>
        </w:rPr>
        <w:t>5</w:t>
      </w:r>
      <w:r>
        <w:rPr>
          <w:rFonts w:hint="default" w:ascii="仿宋_GB2312" w:hAnsi="宋体" w:eastAsia="仿宋_GB2312" w:cs="仿宋_GB2312"/>
          <w:i w:val="0"/>
          <w:iCs w:val="0"/>
          <w:caps w:val="0"/>
          <w:color w:val="333333"/>
          <w:spacing w:val="0"/>
          <w:sz w:val="32"/>
          <w:szCs w:val="32"/>
          <w:shd w:val="clear" w:fill="FFFFFF"/>
        </w:rPr>
        <w:t>年未安排政府性基金预算拨款的支出。</w:t>
      </w:r>
    </w:p>
    <w:p w14:paraId="0E7BAC04">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七</w:t>
      </w:r>
      <w:r>
        <w:rPr>
          <w:rFonts w:hint="eastAsia" w:ascii="Times New Roman" w:hAnsi="Times New Roman" w:eastAsia="黑体"/>
          <w:highlight w:val="none"/>
          <w:u w:val="none"/>
        </w:rPr>
        <w:t>、国有资本经营预算支出情况说明</w:t>
      </w:r>
    </w:p>
    <w:p w14:paraId="0B97DCBD">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江油市人民检察院</w:t>
      </w:r>
      <w:r>
        <w:rPr>
          <w:rFonts w:hint="eastAsia"/>
          <w:highlight w:val="none"/>
          <w:u w:val="none"/>
          <w:lang w:val="en-US" w:eastAsia="zh-CN"/>
        </w:rPr>
        <w:t>部门</w:t>
      </w:r>
      <w:r>
        <w:rPr>
          <w:rFonts w:hint="eastAsia" w:ascii="Times New Roman" w:hAnsi="Times New Roman"/>
          <w:highlight w:val="none"/>
          <w:u w:val="none"/>
        </w:rPr>
        <w:t>202</w:t>
      </w:r>
      <w:r>
        <w:rPr>
          <w:rFonts w:hint="eastAsia"/>
          <w:highlight w:val="none"/>
          <w:u w:val="none"/>
          <w:lang w:val="en-US" w:eastAsia="zh-CN"/>
        </w:rPr>
        <w:t>5</w:t>
      </w:r>
      <w:r>
        <w:rPr>
          <w:rFonts w:hint="eastAsia" w:ascii="Times New Roman" w:hAnsi="Times New Roman"/>
          <w:highlight w:val="none"/>
          <w:u w:val="none"/>
        </w:rPr>
        <w:t>年未安排国有资本经营预算拨款的支出。</w:t>
      </w:r>
    </w:p>
    <w:p w14:paraId="234729A1">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eastAsia="黑体"/>
          <w:highlight w:val="none"/>
          <w:u w:val="none"/>
        </w:rPr>
      </w:pPr>
      <w:r>
        <w:rPr>
          <w:rFonts w:hint="eastAsia" w:ascii="Times New Roman" w:hAnsi="Times New Roman" w:eastAsia="黑体"/>
          <w:highlight w:val="none"/>
          <w:u w:val="none"/>
          <w:lang w:val="en-US" w:eastAsia="zh-CN"/>
        </w:rPr>
        <w:t>八</w:t>
      </w:r>
      <w:r>
        <w:rPr>
          <w:rFonts w:hint="eastAsia" w:ascii="Times New Roman" w:hAnsi="Times New Roman" w:eastAsia="黑体"/>
          <w:highlight w:val="none"/>
          <w:u w:val="none"/>
        </w:rPr>
        <w:t>、其他重要事项的情况说明</w:t>
      </w:r>
    </w:p>
    <w:p w14:paraId="659AF6CF">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（一）机关运行经费</w:t>
      </w:r>
    </w:p>
    <w:p w14:paraId="70187AC2">
      <w:pPr>
        <w:keepNext w:val="0"/>
        <w:keepLines w:val="0"/>
        <w:pageBreakBefore w:val="0"/>
        <w:widowControl w:val="0"/>
        <w:kinsoku/>
        <w:wordWrap/>
        <w:overflowPunct/>
        <w:topLinePunct w:val="0"/>
        <w:autoSpaceDE/>
        <w:autoSpaceDN/>
        <w:bidi w:val="0"/>
        <w:adjustRightInd/>
        <w:snapToGrid/>
        <w:spacing w:beforeLines="0" w:line="560" w:lineRule="exact"/>
        <w:ind w:firstLine="640"/>
        <w:jc w:val="both"/>
        <w:textAlignment w:val="auto"/>
        <w:rPr>
          <w:rFonts w:hint="eastAsia" w:ascii="Times New Roman" w:hAnsi="Times New Roman"/>
          <w:highlight w:val="none"/>
          <w:u w:val="none"/>
        </w:rPr>
      </w:pP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w:t>
      </w:r>
      <w:r>
        <w:rPr>
          <w:rFonts w:hint="default" w:ascii="仿宋_GB2312" w:hAnsi="宋体" w:eastAsia="仿宋_GB2312" w:cs="仿宋_GB2312"/>
          <w:i w:val="0"/>
          <w:iCs w:val="0"/>
          <w:caps w:val="0"/>
          <w:color w:val="333333"/>
          <w:spacing w:val="0"/>
          <w:sz w:val="32"/>
          <w:szCs w:val="32"/>
          <w:shd w:val="clear" w:fill="FFFFFF"/>
        </w:rPr>
        <w:t>江油市人民检察院</w:t>
      </w:r>
      <w:r>
        <w:rPr>
          <w:rFonts w:hint="eastAsia" w:ascii="仿宋_GB2312" w:hAnsi="宋体" w:cs="仿宋_GB2312"/>
          <w:i w:val="0"/>
          <w:iCs w:val="0"/>
          <w:caps w:val="0"/>
          <w:color w:val="333333"/>
          <w:spacing w:val="0"/>
          <w:sz w:val="32"/>
          <w:szCs w:val="32"/>
          <w:shd w:val="clear" w:fill="FFFFFF"/>
          <w:lang w:val="en-US" w:eastAsia="zh-CN"/>
        </w:rPr>
        <w:t>部门</w:t>
      </w:r>
      <w:r>
        <w:rPr>
          <w:rFonts w:hint="default" w:ascii="仿宋_GB2312" w:hAnsi="宋体" w:eastAsia="仿宋_GB2312" w:cs="仿宋_GB2312"/>
          <w:i w:val="0"/>
          <w:iCs w:val="0"/>
          <w:caps w:val="0"/>
          <w:color w:val="333333"/>
          <w:spacing w:val="0"/>
          <w:sz w:val="32"/>
          <w:szCs w:val="32"/>
          <w:shd w:val="clear" w:fill="FFFFFF"/>
        </w:rPr>
        <w:t>的机关运行经费财政拨款预算为</w:t>
      </w:r>
      <w:r>
        <w:rPr>
          <w:rFonts w:hint="default" w:ascii="Times New Roman" w:hAnsi="Times New Roman" w:eastAsia="仿宋_GB2312" w:cs="Times New Roman"/>
          <w:i w:val="0"/>
          <w:iCs w:val="0"/>
          <w:caps w:val="0"/>
          <w:color w:val="333333"/>
          <w:spacing w:val="0"/>
          <w:sz w:val="32"/>
          <w:szCs w:val="32"/>
          <w:shd w:val="clear" w:fill="FFFFFF"/>
        </w:rPr>
        <w:t>301.58</w:t>
      </w:r>
      <w:r>
        <w:rPr>
          <w:rFonts w:hint="default" w:ascii="仿宋_GB2312" w:hAnsi="宋体" w:eastAsia="仿宋_GB2312" w:cs="仿宋_GB2312"/>
          <w:i w:val="0"/>
          <w:iCs w:val="0"/>
          <w:caps w:val="0"/>
          <w:color w:val="333333"/>
          <w:spacing w:val="0"/>
          <w:sz w:val="32"/>
          <w:szCs w:val="32"/>
          <w:shd w:val="clear" w:fill="FFFFFF"/>
        </w:rPr>
        <w:t>万元，比</w:t>
      </w:r>
      <w:r>
        <w:rPr>
          <w:rFonts w:hint="default" w:ascii="Times New Roman" w:hAnsi="Times New Roman" w:eastAsia="仿宋_GB2312" w:cs="Times New Roman"/>
          <w:i w:val="0"/>
          <w:iCs w:val="0"/>
          <w:caps w:val="0"/>
          <w:color w:val="333333"/>
          <w:spacing w:val="0"/>
          <w:sz w:val="32"/>
          <w:szCs w:val="32"/>
          <w:shd w:val="clear" w:fill="FFFFFF"/>
        </w:rPr>
        <w:t>202</w:t>
      </w:r>
      <w:r>
        <w:rPr>
          <w:rFonts w:hint="eastAsia" w:cs="Times New Roman"/>
          <w:i w:val="0"/>
          <w:iCs w:val="0"/>
          <w:caps w:val="0"/>
          <w:color w:val="333333"/>
          <w:spacing w:val="0"/>
          <w:sz w:val="32"/>
          <w:szCs w:val="32"/>
          <w:shd w:val="clear" w:fill="FFFFFF"/>
          <w:lang w:val="en-US" w:eastAsia="zh-CN"/>
        </w:rPr>
        <w:t>4</w:t>
      </w:r>
      <w:r>
        <w:rPr>
          <w:rFonts w:hint="default" w:ascii="仿宋_GB2312" w:hAnsi="宋体" w:eastAsia="仿宋_GB2312" w:cs="仿宋_GB2312"/>
          <w:i w:val="0"/>
          <w:iCs w:val="0"/>
          <w:caps w:val="0"/>
          <w:color w:val="333333"/>
          <w:spacing w:val="0"/>
          <w:sz w:val="32"/>
          <w:szCs w:val="32"/>
          <w:shd w:val="clear" w:fill="FFFFFF"/>
        </w:rPr>
        <w:t>年预算增加</w:t>
      </w:r>
      <w:r>
        <w:rPr>
          <w:rFonts w:hint="eastAsia" w:cs="Times New Roman"/>
          <w:i w:val="0"/>
          <w:iCs w:val="0"/>
          <w:caps w:val="0"/>
          <w:color w:val="333333"/>
          <w:spacing w:val="0"/>
          <w:sz w:val="32"/>
          <w:szCs w:val="32"/>
          <w:shd w:val="clear" w:fill="FFFFFF"/>
          <w:lang w:val="en-US" w:eastAsia="zh-CN"/>
        </w:rPr>
        <w:t>11.22</w:t>
      </w:r>
      <w:r>
        <w:rPr>
          <w:rFonts w:hint="default" w:ascii="仿宋_GB2312" w:hAnsi="宋体" w:eastAsia="仿宋_GB2312" w:cs="仿宋_GB2312"/>
          <w:i w:val="0"/>
          <w:iCs w:val="0"/>
          <w:caps w:val="0"/>
          <w:color w:val="333333"/>
          <w:spacing w:val="0"/>
          <w:sz w:val="32"/>
          <w:szCs w:val="32"/>
          <w:shd w:val="clear" w:fill="FFFFFF"/>
        </w:rPr>
        <w:t>万元，增长</w:t>
      </w:r>
      <w:r>
        <w:rPr>
          <w:rFonts w:hint="eastAsia" w:cs="Times New Roman"/>
          <w:i w:val="0"/>
          <w:iCs w:val="0"/>
          <w:caps w:val="0"/>
          <w:color w:val="333333"/>
          <w:spacing w:val="0"/>
          <w:sz w:val="32"/>
          <w:szCs w:val="32"/>
          <w:shd w:val="clear" w:fill="FFFFFF"/>
          <w:lang w:val="en-US" w:eastAsia="zh-CN"/>
        </w:rPr>
        <w:t>3.86</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。主要原因是在职人员增加，</w:t>
      </w:r>
      <w:r>
        <w:rPr>
          <w:rFonts w:hint="eastAsia" w:ascii="仿宋_GB2312" w:hAnsi="宋体" w:cs="仿宋_GB2312"/>
          <w:i w:val="0"/>
          <w:iCs w:val="0"/>
          <w:caps w:val="0"/>
          <w:color w:val="333333"/>
          <w:spacing w:val="0"/>
          <w:sz w:val="32"/>
          <w:szCs w:val="32"/>
          <w:shd w:val="clear" w:fill="FFFFFF"/>
          <w:lang w:val="en-US" w:eastAsia="zh-CN"/>
        </w:rPr>
        <w:t>机关运行</w:t>
      </w:r>
      <w:r>
        <w:rPr>
          <w:rFonts w:hint="default" w:ascii="仿宋_GB2312" w:hAnsi="宋体" w:eastAsia="仿宋_GB2312" w:cs="仿宋_GB2312"/>
          <w:i w:val="0"/>
          <w:iCs w:val="0"/>
          <w:caps w:val="0"/>
          <w:color w:val="333333"/>
          <w:spacing w:val="0"/>
          <w:sz w:val="32"/>
          <w:szCs w:val="32"/>
          <w:shd w:val="clear" w:fill="FFFFFF"/>
        </w:rPr>
        <w:t>经费相对应增加</w:t>
      </w:r>
      <w:r>
        <w:rPr>
          <w:rFonts w:hint="eastAsia" w:ascii="Times New Roman" w:hAnsi="Times New Roman" w:eastAsia="仿宋_GB2312"/>
          <w:sz w:val="32"/>
          <w:szCs w:val="32"/>
          <w:highlight w:val="none"/>
        </w:rPr>
        <w:t>。</w:t>
      </w:r>
    </w:p>
    <w:p w14:paraId="470F52E6">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（二）政府采购情况</w:t>
      </w:r>
    </w:p>
    <w:p w14:paraId="72694A6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b/>
          <w:bCs/>
          <w:highlight w:val="none"/>
          <w:u w:val="none"/>
        </w:rPr>
      </w:pPr>
      <w:r>
        <w:rPr>
          <w:rFonts w:hint="eastAsia" w:ascii="Times New Roman" w:hAnsi="Times New Roman" w:eastAsia="仿宋_GB2312" w:cs="Times New Roman"/>
          <w:sz w:val="32"/>
          <w:szCs w:val="32"/>
          <w:highlight w:val="none"/>
          <w:u w:val="none"/>
          <w:lang w:eastAsia="zh-CN"/>
        </w:rPr>
        <w:t>202</w:t>
      </w:r>
      <w:r>
        <w:rPr>
          <w:rFonts w:hint="eastAsia" w:ascii="Times New Roman" w:hAnsi="Times New Roman" w:cs="Times New Roman"/>
          <w:sz w:val="32"/>
          <w:szCs w:val="32"/>
          <w:highlight w:val="none"/>
          <w:u w:val="none"/>
          <w:lang w:val="en-US" w:eastAsia="zh-CN"/>
        </w:rPr>
        <w:t>5</w:t>
      </w:r>
      <w:r>
        <w:rPr>
          <w:rFonts w:hint="eastAsia" w:ascii="Times New Roman" w:hAnsi="Times New Roman" w:eastAsia="仿宋_GB2312" w:cs="Times New Roman"/>
          <w:sz w:val="32"/>
          <w:szCs w:val="32"/>
          <w:highlight w:val="none"/>
          <w:u w:val="none"/>
          <w:lang w:eastAsia="zh-CN"/>
        </w:rPr>
        <w:t>年</w:t>
      </w:r>
      <w:r>
        <w:rPr>
          <w:rFonts w:hint="eastAsia" w:ascii="Times New Roman" w:hAnsi="Times New Roman" w:eastAsia="仿宋_GB2312" w:cs="Times New Roman"/>
          <w:sz w:val="32"/>
          <w:szCs w:val="32"/>
          <w:highlight w:val="none"/>
          <w:u w:val="none"/>
        </w:rPr>
        <w:t>，</w:t>
      </w:r>
      <w:r>
        <w:rPr>
          <w:rFonts w:hint="eastAsia"/>
          <w:highlight w:val="none"/>
          <w:u w:val="none"/>
          <w:lang w:val="en-US" w:eastAsia="zh-CN"/>
        </w:rPr>
        <w:t>江油市人民检察院</w:t>
      </w:r>
      <w:r>
        <w:rPr>
          <w:rFonts w:hint="eastAsia" w:ascii="Times New Roman" w:hAnsi="Times New Roman" w:cs="Times New Roman"/>
          <w:sz w:val="32"/>
          <w:szCs w:val="32"/>
          <w:highlight w:val="none"/>
          <w:u w:val="none"/>
          <w:lang w:eastAsia="zh-CN"/>
        </w:rPr>
        <w:t>部门</w:t>
      </w:r>
      <w:r>
        <w:rPr>
          <w:rFonts w:hint="eastAsia" w:ascii="Times New Roman" w:hAnsi="Times New Roman" w:eastAsia="仿宋_GB2312" w:cs="Times New Roman"/>
          <w:sz w:val="32"/>
          <w:szCs w:val="32"/>
          <w:highlight w:val="none"/>
          <w:u w:val="none"/>
        </w:rPr>
        <w:t>安排政府采购预算</w:t>
      </w:r>
      <w:r>
        <w:rPr>
          <w:rFonts w:hint="eastAsia"/>
          <w:highlight w:val="none"/>
          <w:u w:val="none"/>
          <w:lang w:val="en-US" w:eastAsia="zh-CN"/>
        </w:rPr>
        <w:t>2</w:t>
      </w:r>
      <w:r>
        <w:rPr>
          <w:rFonts w:hint="eastAsia"/>
          <w:highlight w:val="none"/>
          <w:u w:val="none"/>
          <w:lang w:val="en-US" w:eastAsia="zh-CN"/>
        </w:rPr>
        <w:t>0.5</w:t>
      </w:r>
      <w:r>
        <w:rPr>
          <w:rFonts w:hint="eastAsia"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其中，政府采购货物</w:t>
      </w:r>
      <w:r>
        <w:rPr>
          <w:rFonts w:hint="eastAsia" w:ascii="Times New Roman" w:hAnsi="Times New Roman" w:eastAsia="仿宋_GB2312" w:cs="Times New Roman"/>
          <w:sz w:val="32"/>
          <w:szCs w:val="32"/>
          <w:highlight w:val="none"/>
          <w:u w:val="none"/>
        </w:rPr>
        <w:t>预算</w:t>
      </w:r>
      <w:r>
        <w:rPr>
          <w:rFonts w:hint="eastAsia"/>
          <w:highlight w:val="none"/>
          <w:u w:val="none"/>
          <w:lang w:val="en-US" w:eastAsia="zh-CN"/>
        </w:rPr>
        <w:t>0</w:t>
      </w:r>
      <w:r>
        <w:rPr>
          <w:rFonts w:hint="eastAsia"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；政府采购工程</w:t>
      </w:r>
      <w:r>
        <w:rPr>
          <w:rFonts w:hint="eastAsia" w:ascii="Times New Roman" w:hAnsi="Times New Roman" w:eastAsia="仿宋_GB2312" w:cs="Times New Roman"/>
          <w:sz w:val="32"/>
          <w:szCs w:val="32"/>
          <w:highlight w:val="none"/>
          <w:u w:val="none"/>
        </w:rPr>
        <w:t>预算</w:t>
      </w:r>
      <w:r>
        <w:rPr>
          <w:rFonts w:hint="eastAsia"/>
          <w:highlight w:val="none"/>
          <w:u w:val="none"/>
          <w:lang w:val="en-US" w:eastAsia="zh-CN"/>
        </w:rPr>
        <w:t>0</w:t>
      </w:r>
      <w:r>
        <w:rPr>
          <w:rFonts w:hint="eastAsia" w:ascii="Times New Roman" w:hAnsi="Times New Roman" w:eastAsia="仿宋_GB2312" w:cs="Times New Roman"/>
          <w:sz w:val="32"/>
          <w:szCs w:val="32"/>
          <w:highlight w:val="none"/>
          <w:u w:val="none"/>
        </w:rPr>
        <w:t>万元</w:t>
      </w:r>
      <w:r>
        <w:rPr>
          <w:rFonts w:hint="eastAsia" w:ascii="Times New Roman" w:hAnsi="Times New Roman" w:eastAsia="仿宋_GB2312" w:cs="Times New Roman"/>
          <w:sz w:val="32"/>
          <w:szCs w:val="32"/>
          <w:highlight w:val="none"/>
          <w:u w:val="none"/>
          <w:lang w:eastAsia="zh-CN"/>
        </w:rPr>
        <w:t>；政府采购服务</w:t>
      </w:r>
      <w:r>
        <w:rPr>
          <w:rFonts w:hint="eastAsia" w:ascii="Times New Roman" w:hAnsi="Times New Roman" w:eastAsia="仿宋_GB2312" w:cs="Times New Roman"/>
          <w:sz w:val="32"/>
          <w:szCs w:val="32"/>
          <w:highlight w:val="none"/>
          <w:u w:val="none"/>
        </w:rPr>
        <w:t>预算</w:t>
      </w:r>
      <w:r>
        <w:rPr>
          <w:rFonts w:hint="eastAsia"/>
          <w:highlight w:val="none"/>
          <w:u w:val="none"/>
          <w:lang w:val="en-US" w:eastAsia="zh-CN"/>
        </w:rPr>
        <w:t>2</w:t>
      </w:r>
      <w:r>
        <w:rPr>
          <w:rFonts w:hint="eastAsia"/>
          <w:highlight w:val="none"/>
          <w:u w:val="none"/>
          <w:lang w:val="en-US" w:eastAsia="zh-CN"/>
        </w:rPr>
        <w:t>0.5</w:t>
      </w:r>
      <w:r>
        <w:rPr>
          <w:rFonts w:hint="eastAsia" w:ascii="Times New Roman" w:hAnsi="Times New Roman" w:eastAsia="仿宋_GB2312" w:cs="Times New Roman"/>
          <w:sz w:val="32"/>
          <w:szCs w:val="32"/>
          <w:highlight w:val="none"/>
          <w:u w:val="none"/>
        </w:rPr>
        <w:t>万元。</w:t>
      </w:r>
      <w:bookmarkStart w:id="0" w:name="_GoBack"/>
      <w:bookmarkEnd w:id="0"/>
    </w:p>
    <w:p w14:paraId="7C695A0C">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（三）国有资产占有使用情况</w:t>
      </w:r>
    </w:p>
    <w:p w14:paraId="3BCC38FA">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截至</w:t>
      </w:r>
      <w:r>
        <w:rPr>
          <w:rFonts w:hint="eastAsia"/>
          <w:highlight w:val="none"/>
          <w:u w:val="none"/>
          <w:lang w:eastAsia="zh-CN"/>
        </w:rPr>
        <w:t>202</w:t>
      </w:r>
      <w:r>
        <w:rPr>
          <w:rFonts w:hint="eastAsia"/>
          <w:highlight w:val="none"/>
          <w:u w:val="none"/>
          <w:lang w:val="en-US" w:eastAsia="zh-CN"/>
        </w:rPr>
        <w:t>4</w:t>
      </w:r>
      <w:r>
        <w:rPr>
          <w:rFonts w:hint="eastAsia" w:ascii="Times New Roman" w:hAnsi="Times New Roman"/>
          <w:highlight w:val="none"/>
          <w:u w:val="none"/>
        </w:rPr>
        <w:t>年底，</w:t>
      </w:r>
      <w:r>
        <w:rPr>
          <w:rFonts w:hint="eastAsia"/>
          <w:highlight w:val="none"/>
          <w:u w:val="none"/>
          <w:lang w:val="en-US" w:eastAsia="zh-CN"/>
        </w:rPr>
        <w:t>江油市人民检察院</w:t>
      </w:r>
      <w:r>
        <w:rPr>
          <w:rFonts w:hint="eastAsia" w:ascii="Times New Roman" w:hAnsi="Times New Roman"/>
          <w:highlight w:val="none"/>
          <w:u w:val="none"/>
          <w:lang w:eastAsia="zh-CN"/>
        </w:rPr>
        <w:t>部门</w:t>
      </w:r>
      <w:r>
        <w:rPr>
          <w:rFonts w:hint="eastAsia" w:ascii="Times New Roman" w:hAnsi="Times New Roman"/>
          <w:highlight w:val="none"/>
          <w:u w:val="none"/>
        </w:rPr>
        <w:t>所属各预算单位共有车</w:t>
      </w:r>
      <w:r>
        <w:rPr>
          <w:rFonts w:hint="eastAsia"/>
          <w:highlight w:val="none"/>
          <w:u w:val="none"/>
          <w:lang w:val="en-US" w:eastAsia="zh-CN"/>
        </w:rPr>
        <w:t>9</w:t>
      </w:r>
      <w:r>
        <w:rPr>
          <w:rFonts w:hint="eastAsia" w:ascii="Times New Roman" w:hAnsi="Times New Roman"/>
          <w:highlight w:val="none"/>
          <w:u w:val="none"/>
        </w:rPr>
        <w:t>辆，其中，</w:t>
      </w:r>
      <w:r>
        <w:rPr>
          <w:rFonts w:hint="eastAsia" w:ascii="Times New Roman" w:hAnsi="Times New Roman"/>
          <w:highlight w:val="none"/>
          <w:u w:val="none"/>
          <w:lang w:eastAsia="zh-CN"/>
        </w:rPr>
        <w:t>厅局级</w:t>
      </w:r>
      <w:r>
        <w:rPr>
          <w:rFonts w:hint="eastAsia" w:ascii="Times New Roman" w:hAnsi="Times New Roman"/>
          <w:highlight w:val="none"/>
          <w:u w:val="none"/>
        </w:rPr>
        <w:t>领导干部用车</w:t>
      </w:r>
      <w:r>
        <w:rPr>
          <w:rFonts w:hint="eastAsia"/>
          <w:highlight w:val="none"/>
          <w:u w:val="none"/>
          <w:lang w:val="en-US" w:eastAsia="zh-CN"/>
        </w:rPr>
        <w:t>0</w:t>
      </w:r>
      <w:r>
        <w:rPr>
          <w:rFonts w:hint="eastAsia" w:ascii="Times New Roman" w:hAnsi="Times New Roman"/>
          <w:highlight w:val="none"/>
          <w:u w:val="none"/>
        </w:rPr>
        <w:t>辆、定向保障用车</w:t>
      </w:r>
      <w:r>
        <w:rPr>
          <w:rFonts w:hint="eastAsia"/>
          <w:highlight w:val="none"/>
          <w:u w:val="none"/>
          <w:lang w:val="en-US" w:eastAsia="zh-CN"/>
        </w:rPr>
        <w:t>0</w:t>
      </w:r>
      <w:r>
        <w:rPr>
          <w:rFonts w:hint="eastAsia" w:ascii="Times New Roman" w:hAnsi="Times New Roman"/>
          <w:highlight w:val="none"/>
          <w:u w:val="none"/>
        </w:rPr>
        <w:t>辆、执法执勤用车</w:t>
      </w:r>
      <w:r>
        <w:rPr>
          <w:rFonts w:hint="eastAsia"/>
          <w:highlight w:val="none"/>
          <w:u w:val="none"/>
          <w:lang w:val="en-US" w:eastAsia="zh-CN"/>
        </w:rPr>
        <w:t>9</w:t>
      </w:r>
      <w:r>
        <w:rPr>
          <w:rFonts w:hint="eastAsia" w:ascii="Times New Roman" w:hAnsi="Times New Roman"/>
          <w:highlight w:val="none"/>
          <w:u w:val="none"/>
        </w:rPr>
        <w:t>辆。</w:t>
      </w:r>
      <w:r>
        <w:rPr>
          <w:rFonts w:hint="eastAsia" w:ascii="Times New Roman" w:hAnsi="Times New Roman"/>
          <w:highlight w:val="none"/>
          <w:u w:val="none"/>
          <w:lang w:eastAsia="zh-CN"/>
        </w:rPr>
        <w:t>部门</w:t>
      </w:r>
      <w:r>
        <w:rPr>
          <w:rFonts w:hint="eastAsia" w:ascii="Times New Roman" w:hAnsi="Times New Roman"/>
          <w:highlight w:val="none"/>
          <w:u w:val="none"/>
        </w:rPr>
        <w:t>价值</w:t>
      </w:r>
      <w:r>
        <w:rPr>
          <w:rFonts w:hint="eastAsia" w:ascii="Times New Roman" w:hAnsi="Times New Roman"/>
          <w:highlight w:val="none"/>
          <w:u w:val="none"/>
          <w:lang w:val="en-US" w:eastAsia="zh-CN"/>
        </w:rPr>
        <w:t>1</w:t>
      </w:r>
      <w:r>
        <w:rPr>
          <w:rFonts w:hint="eastAsia" w:ascii="Times New Roman" w:hAnsi="Times New Roman"/>
          <w:highlight w:val="none"/>
          <w:u w:val="none"/>
        </w:rPr>
        <w:t>00万元以上大型设备</w:t>
      </w:r>
      <w:r>
        <w:rPr>
          <w:rFonts w:hint="eastAsia"/>
          <w:highlight w:val="none"/>
          <w:u w:val="none"/>
          <w:lang w:val="en-US" w:eastAsia="zh-CN"/>
        </w:rPr>
        <w:t>2</w:t>
      </w:r>
      <w:r>
        <w:rPr>
          <w:rFonts w:hint="eastAsia" w:ascii="Times New Roman" w:hAnsi="Times New Roman"/>
          <w:highlight w:val="none"/>
          <w:u w:val="none"/>
        </w:rPr>
        <w:t>台（套）。</w:t>
      </w:r>
    </w:p>
    <w:p w14:paraId="305BA8E2">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ascii="Times New Roman" w:hAnsi="Times New Roman"/>
          <w:highlight w:val="none"/>
          <w:u w:val="none"/>
        </w:rPr>
      </w:pPr>
      <w:r>
        <w:rPr>
          <w:rFonts w:hint="eastAsia" w:ascii="Times New Roman" w:hAnsi="Times New Roman"/>
          <w:highlight w:val="none"/>
          <w:u w:val="none"/>
        </w:rPr>
        <w:t>20</w:t>
      </w:r>
      <w:r>
        <w:rPr>
          <w:rFonts w:hint="eastAsia" w:ascii="Times New Roman" w:hAnsi="Times New Roman"/>
          <w:highlight w:val="none"/>
          <w:u w:val="none"/>
          <w:lang w:val="en-US" w:eastAsia="zh-CN"/>
        </w:rPr>
        <w:t>25</w:t>
      </w:r>
      <w:r>
        <w:rPr>
          <w:rFonts w:hint="eastAsia" w:ascii="Times New Roman" w:hAnsi="Times New Roman"/>
          <w:highlight w:val="none"/>
          <w:u w:val="none"/>
        </w:rPr>
        <w:t>年</w:t>
      </w:r>
      <w:r>
        <w:rPr>
          <w:rFonts w:hint="eastAsia"/>
          <w:highlight w:val="none"/>
          <w:u w:val="none"/>
          <w:lang w:val="en-US" w:eastAsia="zh-CN"/>
        </w:rPr>
        <w:t>江油市人民检察院</w:t>
      </w:r>
      <w:r>
        <w:rPr>
          <w:rFonts w:hint="eastAsia" w:ascii="Times New Roman" w:hAnsi="Times New Roman"/>
          <w:highlight w:val="none"/>
          <w:u w:val="none"/>
        </w:rPr>
        <w:t>部门预算未安排购置车辆及</w:t>
      </w:r>
      <w:r>
        <w:rPr>
          <w:rFonts w:hint="eastAsia" w:ascii="Times New Roman" w:hAnsi="Times New Roman"/>
          <w:highlight w:val="none"/>
          <w:u w:val="none"/>
          <w:lang w:eastAsia="zh-CN"/>
        </w:rPr>
        <w:t>部门</w:t>
      </w:r>
      <w:r>
        <w:rPr>
          <w:rFonts w:hint="eastAsia" w:ascii="Times New Roman" w:hAnsi="Times New Roman"/>
          <w:highlight w:val="none"/>
          <w:u w:val="none"/>
        </w:rPr>
        <w:t>价值</w:t>
      </w:r>
      <w:r>
        <w:rPr>
          <w:rFonts w:hint="eastAsia" w:ascii="Times New Roman" w:hAnsi="Times New Roman"/>
          <w:highlight w:val="none"/>
          <w:u w:val="none"/>
          <w:lang w:val="en-US" w:eastAsia="zh-CN"/>
        </w:rPr>
        <w:t>1</w:t>
      </w:r>
      <w:r>
        <w:rPr>
          <w:rFonts w:hint="eastAsia" w:ascii="Times New Roman" w:hAnsi="Times New Roman"/>
          <w:highlight w:val="none"/>
          <w:u w:val="none"/>
        </w:rPr>
        <w:t>00万元以上大型设备。</w:t>
      </w:r>
    </w:p>
    <w:p w14:paraId="6E6D033C">
      <w:pPr>
        <w:keepNext w:val="0"/>
        <w:keepLines w:val="0"/>
        <w:pageBreakBefore w:val="0"/>
        <w:widowControl w:val="0"/>
        <w:kinsoku/>
        <w:wordWrap/>
        <w:overflowPunct/>
        <w:topLinePunct w:val="0"/>
        <w:autoSpaceDE/>
        <w:autoSpaceDN/>
        <w:bidi w:val="0"/>
        <w:adjustRightInd/>
        <w:snapToGrid/>
        <w:spacing w:beforeLines="0" w:line="560" w:lineRule="exact"/>
        <w:ind w:firstLine="643" w:firstLineChars="200"/>
        <w:jc w:val="both"/>
        <w:textAlignment w:val="auto"/>
        <w:rPr>
          <w:rFonts w:hint="eastAsia" w:ascii="Times New Roman" w:hAnsi="Times New Roman" w:eastAsia="楷体_GB2312"/>
          <w:b/>
          <w:highlight w:val="none"/>
          <w:u w:val="none"/>
        </w:rPr>
      </w:pPr>
      <w:r>
        <w:rPr>
          <w:rFonts w:hint="eastAsia" w:ascii="Times New Roman" w:hAnsi="Times New Roman" w:eastAsia="楷体_GB2312"/>
          <w:b/>
          <w:highlight w:val="none"/>
          <w:u w:val="none"/>
        </w:rPr>
        <w:t>（四）</w:t>
      </w:r>
      <w:r>
        <w:rPr>
          <w:rFonts w:hint="eastAsia" w:ascii="Times New Roman" w:hAnsi="Times New Roman" w:eastAsia="楷体_GB2312"/>
          <w:b/>
          <w:highlight w:val="none"/>
          <w:u w:val="none"/>
          <w:lang w:val="en-US" w:eastAsia="zh-CN"/>
        </w:rPr>
        <w:t>预算绩效</w:t>
      </w:r>
      <w:r>
        <w:rPr>
          <w:rFonts w:hint="eastAsia" w:ascii="Times New Roman" w:hAnsi="Times New Roman" w:eastAsia="楷体_GB2312"/>
          <w:b/>
          <w:highlight w:val="none"/>
          <w:u w:val="none"/>
        </w:rPr>
        <w:t>情况</w:t>
      </w:r>
    </w:p>
    <w:p w14:paraId="2400C170">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r>
        <w:rPr>
          <w:rFonts w:hint="eastAsia" w:ascii="Times New Roman" w:hAnsi="Times New Roman" w:eastAsia="仿宋_GB2312" w:cs="仿宋_GB2312"/>
          <w:sz w:val="32"/>
          <w:szCs w:val="32"/>
          <w:highlight w:val="none"/>
          <w:lang w:val="en-US" w:eastAsia="zh-CN"/>
        </w:rPr>
        <w:t>202</w:t>
      </w:r>
      <w:r>
        <w:rPr>
          <w:rFonts w:hint="eastAsia" w:ascii="Times New Roman" w:hAnsi="Times New Roman"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年</w:t>
      </w:r>
      <w:r>
        <w:rPr>
          <w:rFonts w:hint="eastAsia"/>
          <w:highlight w:val="none"/>
          <w:u w:val="none"/>
          <w:lang w:val="en-US" w:eastAsia="zh-CN"/>
        </w:rPr>
        <w:t>江油市人民检察院</w:t>
      </w:r>
      <w:r>
        <w:rPr>
          <w:rFonts w:hint="eastAsia" w:ascii="Times New Roman" w:hAnsi="Times New Roman" w:eastAsia="仿宋_GB2312" w:cs="仿宋_GB2312"/>
          <w:sz w:val="32"/>
          <w:szCs w:val="32"/>
          <w:highlight w:val="none"/>
          <w:lang w:eastAsia="zh-CN"/>
        </w:rPr>
        <w:t>部门</w:t>
      </w:r>
      <w:r>
        <w:rPr>
          <w:rFonts w:hint="default" w:ascii="仿宋_GB2312" w:hAnsi="宋体" w:eastAsia="仿宋_GB2312" w:cs="仿宋_GB2312"/>
          <w:i w:val="0"/>
          <w:iCs w:val="0"/>
          <w:caps w:val="0"/>
          <w:color w:val="333333"/>
          <w:spacing w:val="0"/>
          <w:sz w:val="32"/>
          <w:szCs w:val="32"/>
          <w:shd w:val="clear" w:fill="FFFFFF"/>
        </w:rPr>
        <w:t>按要求编制了部门整体绩效目标和项目预算绩效目标。开展绩效目标管理的项目</w:t>
      </w: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个，涉及预算</w:t>
      </w:r>
      <w:r>
        <w:rPr>
          <w:rFonts w:hint="eastAsia" w:ascii="Times New Roman" w:hAnsi="Times New Roman" w:eastAsia="仿宋_GB2312" w:cs="Times New Roman"/>
          <w:i w:val="0"/>
          <w:iCs w:val="0"/>
          <w:caps w:val="0"/>
          <w:color w:val="333333"/>
          <w:spacing w:val="0"/>
          <w:sz w:val="32"/>
          <w:szCs w:val="32"/>
          <w:shd w:val="clear" w:fill="FFFFFF"/>
          <w:lang w:val="en-US" w:eastAsia="zh-CN"/>
        </w:rPr>
        <w:t>125</w:t>
      </w:r>
      <w:r>
        <w:rPr>
          <w:rFonts w:hint="default" w:ascii="仿宋_GB2312" w:hAnsi="宋体" w:eastAsia="仿宋_GB2312" w:cs="仿宋_GB2312"/>
          <w:i w:val="0"/>
          <w:iCs w:val="0"/>
          <w:caps w:val="0"/>
          <w:color w:val="333333"/>
          <w:spacing w:val="0"/>
          <w:sz w:val="32"/>
          <w:szCs w:val="32"/>
          <w:shd w:val="clear" w:fill="FFFFFF"/>
        </w:rPr>
        <w:t>万元，所有项目均按要求编制了绩效目标。其中：</w:t>
      </w:r>
      <w:r>
        <w:rPr>
          <w:rFonts w:hint="eastAsia" w:ascii="仿宋_GB2312" w:hAnsi="宋体" w:eastAsia="仿宋_GB2312" w:cs="仿宋_GB2312"/>
          <w:i w:val="0"/>
          <w:iCs w:val="0"/>
          <w:caps w:val="0"/>
          <w:color w:val="333333"/>
          <w:spacing w:val="0"/>
          <w:sz w:val="32"/>
          <w:szCs w:val="32"/>
          <w:shd w:val="clear" w:fill="FFFFFF"/>
          <w:lang w:val="en-US" w:eastAsia="zh-CN"/>
        </w:rPr>
        <w:t>运转</w:t>
      </w:r>
      <w:r>
        <w:rPr>
          <w:rFonts w:hint="default" w:ascii="仿宋_GB2312" w:hAnsi="宋体" w:eastAsia="仿宋_GB2312" w:cs="仿宋_GB2312"/>
          <w:i w:val="0"/>
          <w:iCs w:val="0"/>
          <w:caps w:val="0"/>
          <w:color w:val="333333"/>
          <w:spacing w:val="0"/>
          <w:sz w:val="32"/>
          <w:szCs w:val="32"/>
          <w:shd w:val="clear" w:fill="FFFFFF"/>
        </w:rPr>
        <w:t>类项目</w:t>
      </w: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宋体" w:eastAsia="仿宋_GB2312" w:cs="仿宋_GB2312"/>
          <w:i w:val="0"/>
          <w:iCs w:val="0"/>
          <w:caps w:val="0"/>
          <w:color w:val="333333"/>
          <w:spacing w:val="0"/>
          <w:sz w:val="32"/>
          <w:szCs w:val="32"/>
          <w:shd w:val="clear" w:fill="FFFFFF"/>
        </w:rPr>
        <w:t>个，涉及预算</w:t>
      </w:r>
      <w:r>
        <w:rPr>
          <w:rFonts w:hint="eastAsia" w:ascii="Times New Roman" w:hAnsi="Times New Roman" w:eastAsia="仿宋_GB2312" w:cs="Times New Roman"/>
          <w:i w:val="0"/>
          <w:iCs w:val="0"/>
          <w:caps w:val="0"/>
          <w:color w:val="333333"/>
          <w:spacing w:val="0"/>
          <w:sz w:val="32"/>
          <w:szCs w:val="32"/>
          <w:shd w:val="clear" w:fill="FFFFFF"/>
          <w:lang w:val="en-US" w:eastAsia="zh-CN"/>
        </w:rPr>
        <w:t>125</w:t>
      </w:r>
      <w:r>
        <w:rPr>
          <w:rFonts w:hint="default" w:ascii="仿宋_GB2312" w:hAnsi="宋体" w:eastAsia="仿宋_GB2312" w:cs="仿宋_GB2312"/>
          <w:i w:val="0"/>
          <w:iCs w:val="0"/>
          <w:caps w:val="0"/>
          <w:color w:val="333333"/>
          <w:spacing w:val="0"/>
          <w:sz w:val="32"/>
          <w:szCs w:val="32"/>
          <w:shd w:val="clear" w:fill="FFFFFF"/>
        </w:rPr>
        <w:t>万元。</w:t>
      </w:r>
    </w:p>
    <w:p w14:paraId="4AF790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highlight w:val="none"/>
        </w:rPr>
      </w:pPr>
    </w:p>
    <w:p w14:paraId="78B0C3F4">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246D13A3">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28EFA285">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62BBB0C5">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06C711C7">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524ABAC9">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6195E75F">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13C03C47">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7E4BC67E">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4F43031E">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0FD0D6DE">
      <w:pPr>
        <w:pStyle w:val="11"/>
        <w:rPr>
          <w:rFonts w:hint="eastAsia" w:ascii="Times New Roman" w:hAnsi="Times New Roman" w:eastAsia="黑体"/>
          <w:highlight w:val="none"/>
        </w:rPr>
      </w:pPr>
    </w:p>
    <w:p w14:paraId="25C076E8">
      <w:pPr>
        <w:pStyle w:val="11"/>
        <w:rPr>
          <w:rFonts w:hint="eastAsia" w:ascii="Times New Roman" w:hAnsi="Times New Roman" w:eastAsia="黑体"/>
          <w:highlight w:val="none"/>
        </w:rPr>
      </w:pPr>
    </w:p>
    <w:p w14:paraId="79B9ABA1">
      <w:pPr>
        <w:pStyle w:val="11"/>
        <w:rPr>
          <w:rFonts w:hint="eastAsia" w:ascii="Times New Roman" w:hAnsi="Times New Roman" w:eastAsia="黑体"/>
          <w:highlight w:val="none"/>
        </w:rPr>
      </w:pPr>
    </w:p>
    <w:p w14:paraId="74E3DEE3">
      <w:pPr>
        <w:pStyle w:val="11"/>
        <w:rPr>
          <w:rFonts w:hint="eastAsia" w:ascii="Times New Roman" w:hAnsi="Times New Roman" w:eastAsia="黑体"/>
          <w:highlight w:val="none"/>
        </w:rPr>
      </w:pPr>
    </w:p>
    <w:p w14:paraId="33CBC17A">
      <w:pPr>
        <w:pStyle w:val="11"/>
        <w:rPr>
          <w:rFonts w:hint="eastAsia" w:ascii="Times New Roman" w:hAnsi="Times New Roman" w:eastAsia="黑体"/>
          <w:highlight w:val="none"/>
        </w:rPr>
      </w:pPr>
    </w:p>
    <w:p w14:paraId="42034D50">
      <w:pPr>
        <w:pStyle w:val="11"/>
        <w:rPr>
          <w:rFonts w:hint="eastAsia" w:ascii="Times New Roman" w:hAnsi="Times New Roman" w:eastAsia="黑体"/>
          <w:highlight w:val="none"/>
        </w:rPr>
      </w:pPr>
    </w:p>
    <w:p w14:paraId="369E197C">
      <w:pPr>
        <w:pStyle w:val="11"/>
        <w:rPr>
          <w:rFonts w:hint="eastAsia" w:ascii="Times New Roman" w:hAnsi="Times New Roman" w:eastAsia="黑体"/>
          <w:highlight w:val="none"/>
        </w:rPr>
      </w:pPr>
    </w:p>
    <w:p w14:paraId="64406F7C">
      <w:pPr>
        <w:pStyle w:val="11"/>
        <w:rPr>
          <w:rFonts w:hint="eastAsia" w:ascii="Times New Roman" w:hAnsi="Times New Roman" w:eastAsia="黑体"/>
          <w:highlight w:val="none"/>
        </w:rPr>
      </w:pPr>
    </w:p>
    <w:p w14:paraId="5B20214C">
      <w:pPr>
        <w:pStyle w:val="11"/>
        <w:rPr>
          <w:rFonts w:hint="eastAsia" w:ascii="Times New Roman" w:hAnsi="Times New Roman" w:eastAsia="黑体"/>
          <w:highlight w:val="none"/>
        </w:rPr>
      </w:pPr>
    </w:p>
    <w:p w14:paraId="10BE94C8">
      <w:pPr>
        <w:pStyle w:val="11"/>
        <w:rPr>
          <w:rFonts w:hint="eastAsia" w:ascii="Times New Roman" w:hAnsi="Times New Roman" w:eastAsia="黑体"/>
          <w:highlight w:val="none"/>
        </w:rPr>
      </w:pPr>
    </w:p>
    <w:p w14:paraId="13D5DF9E">
      <w:pPr>
        <w:pStyle w:val="11"/>
        <w:rPr>
          <w:rFonts w:hint="eastAsia" w:ascii="Times New Roman" w:hAnsi="Times New Roman" w:eastAsia="黑体"/>
          <w:highlight w:val="none"/>
        </w:rPr>
      </w:pPr>
    </w:p>
    <w:p w14:paraId="5BAFF6DD">
      <w:pPr>
        <w:pStyle w:val="11"/>
        <w:rPr>
          <w:rFonts w:hint="eastAsia" w:ascii="Times New Roman" w:hAnsi="Times New Roman" w:eastAsia="黑体"/>
          <w:highlight w:val="none"/>
        </w:rPr>
      </w:pPr>
    </w:p>
    <w:p w14:paraId="4E6F1FC0">
      <w:pPr>
        <w:pStyle w:val="11"/>
        <w:rPr>
          <w:rFonts w:hint="eastAsia" w:ascii="Times New Roman" w:hAnsi="Times New Roman" w:eastAsia="黑体"/>
          <w:highlight w:val="none"/>
        </w:rPr>
      </w:pPr>
    </w:p>
    <w:p w14:paraId="107B1DC8">
      <w:pPr>
        <w:pStyle w:val="11"/>
        <w:rPr>
          <w:rFonts w:hint="eastAsia" w:ascii="Times New Roman" w:hAnsi="Times New Roman" w:eastAsia="黑体"/>
          <w:highlight w:val="none"/>
        </w:rPr>
      </w:pPr>
    </w:p>
    <w:p w14:paraId="1B2341E5">
      <w:pPr>
        <w:pStyle w:val="11"/>
        <w:rPr>
          <w:rFonts w:hint="eastAsia" w:ascii="Times New Roman" w:hAnsi="Times New Roman" w:eastAsia="黑体"/>
          <w:highlight w:val="none"/>
        </w:rPr>
      </w:pPr>
    </w:p>
    <w:p w14:paraId="4E287A2C">
      <w:pPr>
        <w:pStyle w:val="11"/>
        <w:rPr>
          <w:rFonts w:hint="eastAsia" w:ascii="Times New Roman" w:hAnsi="Times New Roman" w:eastAsia="黑体"/>
          <w:highlight w:val="none"/>
        </w:rPr>
      </w:pPr>
    </w:p>
    <w:p w14:paraId="412A6A41">
      <w:pPr>
        <w:pStyle w:val="11"/>
        <w:rPr>
          <w:rFonts w:hint="eastAsia" w:ascii="Times New Roman" w:hAnsi="Times New Roman" w:eastAsia="黑体"/>
          <w:highlight w:val="none"/>
        </w:rPr>
      </w:pPr>
    </w:p>
    <w:p w14:paraId="3211B5CD">
      <w:pPr>
        <w:pStyle w:val="11"/>
        <w:rPr>
          <w:rFonts w:hint="eastAsia" w:ascii="Times New Roman" w:hAnsi="Times New Roman" w:eastAsia="黑体"/>
          <w:highlight w:val="none"/>
        </w:rPr>
      </w:pPr>
    </w:p>
    <w:p w14:paraId="1AA2B7C0">
      <w:pPr>
        <w:pStyle w:val="11"/>
        <w:rPr>
          <w:rFonts w:hint="eastAsia" w:ascii="Times New Roman" w:hAnsi="Times New Roman" w:eastAsia="黑体"/>
          <w:highlight w:val="none"/>
        </w:rPr>
      </w:pPr>
    </w:p>
    <w:p w14:paraId="0A6679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BBEE1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0FFB7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F4FFF5A">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DEB82C8">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25EE34FB">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4651669E">
      <w:pPr>
        <w:numPr>
          <w:ilvl w:val="0"/>
          <w:numId w:val="0"/>
        </w:numPr>
        <w:shd w:val="clear" w:color="auto" w:fill="auto"/>
        <w:ind w:left="0" w:leftChars="0" w:right="0" w:rightChars="0" w:firstLine="0" w:firstLineChars="0"/>
        <w:jc w:val="center"/>
        <w:outlineLvl w:val="0"/>
        <w:rPr>
          <w:rFonts w:hint="eastAsia" w:ascii="Times New Roman" w:hAnsi="Times New Roman" w:eastAsia="方正小标宋简体" w:cs="方正小标宋简体"/>
          <w:color w:val="auto"/>
          <w:kern w:val="0"/>
          <w:sz w:val="52"/>
          <w:szCs w:val="52"/>
          <w:highlight w:val="none"/>
          <w:shd w:val="clear" w:color="auto" w:fill="auto"/>
          <w:lang w:val="en-US" w:eastAsia="zh-CN" w:bidi="ar"/>
        </w:rPr>
      </w:pPr>
    </w:p>
    <w:p w14:paraId="0789BDC4">
      <w:pPr>
        <w:numPr>
          <w:ilvl w:val="0"/>
          <w:numId w:val="0"/>
        </w:numPr>
        <w:shd w:val="clear" w:color="auto" w:fill="auto"/>
        <w:ind w:left="0" w:leftChars="0" w:right="0" w:rightChars="0" w:firstLine="0" w:firstLineChars="0"/>
        <w:jc w:val="center"/>
        <w:outlineLvl w:val="0"/>
        <w:rPr>
          <w:rFonts w:hint="default" w:ascii="Times New Roman" w:hAnsi="Times New Roman" w:eastAsia="方正小标宋简体" w:cs="方正小标宋简体"/>
          <w:color w:val="auto"/>
          <w:kern w:val="0"/>
          <w:sz w:val="52"/>
          <w:szCs w:val="52"/>
          <w:highlight w:val="none"/>
          <w:shd w:val="clear" w:color="auto" w:fill="auto"/>
          <w:lang w:val="en-US" w:eastAsia="zh-CN" w:bidi="ar"/>
        </w:rPr>
      </w:pPr>
      <w:r>
        <w:rPr>
          <w:rFonts w:hint="eastAsia" w:ascii="Times New Roman" w:hAnsi="Times New Roman" w:eastAsia="方正小标宋简体" w:cs="方正小标宋简体"/>
          <w:color w:val="auto"/>
          <w:kern w:val="0"/>
          <w:sz w:val="52"/>
          <w:szCs w:val="52"/>
          <w:highlight w:val="none"/>
          <w:shd w:val="clear" w:color="auto" w:fill="auto"/>
          <w:lang w:val="en-US" w:eastAsia="zh-CN" w:bidi="ar"/>
        </w:rPr>
        <w:t xml:space="preserve">第四部分  </w:t>
      </w:r>
      <w:r>
        <w:rPr>
          <w:rFonts w:hint="default" w:ascii="Times New Roman" w:hAnsi="Times New Roman" w:eastAsia="方正小标宋简体" w:cs="方正小标宋简体"/>
          <w:color w:val="auto"/>
          <w:kern w:val="0"/>
          <w:sz w:val="52"/>
          <w:szCs w:val="52"/>
          <w:highlight w:val="none"/>
          <w:shd w:val="clear" w:color="auto" w:fill="auto"/>
          <w:lang w:val="en-US" w:eastAsia="zh-CN" w:bidi="ar"/>
        </w:rPr>
        <w:t>名词解释</w:t>
      </w:r>
    </w:p>
    <w:p w14:paraId="0843AB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sectPr>
          <w:footerReference r:id="rId9" w:type="default"/>
          <w:pgSz w:w="11906" w:h="16838"/>
          <w:pgMar w:top="2098" w:right="1474" w:bottom="1871" w:left="1587" w:header="720" w:footer="720"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14F55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ascii="仿宋_GB2312" w:hAnsi="Times New Roman" w:eastAsia="仿宋_GB2312" w:cs="仿宋_GB2312"/>
          <w:i w:val="0"/>
          <w:iCs w:val="0"/>
          <w:caps w:val="0"/>
          <w:color w:val="333333"/>
          <w:spacing w:val="0"/>
          <w:kern w:val="0"/>
          <w:sz w:val="32"/>
          <w:szCs w:val="32"/>
          <w:shd w:val="clear" w:fill="FFFFFF"/>
          <w:lang w:val="en-US" w:eastAsia="zh-CN" w:bidi="ar"/>
        </w:rPr>
        <w:t>财政拨款收入：指市级财政当年拨付的资金。</w:t>
      </w:r>
    </w:p>
    <w:p w14:paraId="38560D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事业收入：指事业单位开展专业业务活动及辅助活动所取得的收入。如</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（二级预算单位事业收入情况）等。</w:t>
      </w:r>
    </w:p>
    <w:p w14:paraId="10278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其他收入：指除上述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财政拨款收入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事业收入（专户收入）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经营收入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等以外的收入。主要是</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（收入类型）等。</w:t>
      </w:r>
    </w:p>
    <w:p w14:paraId="34859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基本支出：指为保障机构正常运转、完成日常工作任务而发生的人员支出和公用支出。</w:t>
      </w:r>
    </w:p>
    <w:p w14:paraId="45083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项目支出：指在基本支出之外为完成特定行政任务和事业发展目标所发生的支出。</w:t>
      </w:r>
    </w:p>
    <w:p w14:paraId="0B863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三公</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经费：纳入市级财政预决算管理的</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三公</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BA5F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w:t>
      </w:r>
      <w:r>
        <w:rPr>
          <w:rFonts w:hint="default" w:ascii="仿宋_GB2312" w:hAnsi="Times New Roman" w:eastAsia="仿宋_GB2312" w:cs="仿宋_GB2312"/>
          <w:i w:val="0"/>
          <w:iCs w:val="0"/>
          <w:caps w:val="0"/>
          <w:color w:val="333333"/>
          <w:spacing w:val="0"/>
          <w:kern w:val="0"/>
          <w:sz w:val="32"/>
          <w:szCs w:val="32"/>
          <w:shd w:val="clear" w:fill="FFFFFF"/>
          <w:lang w:val="en-US" w:eastAsia="zh-CN" w:bidi="ar"/>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34A0F6">
      <w:pPr>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eastAsia" w:ascii="Times New Roman" w:hAnsi="Times New Roman" w:eastAsia="黑体"/>
          <w:highlight w:val="none"/>
        </w:rPr>
      </w:pPr>
    </w:p>
    <w:p w14:paraId="1126FA5B">
      <w:pPr>
        <w:spacing w:beforeLines="0" w:line="560" w:lineRule="exact"/>
        <w:jc w:val="both"/>
        <w:rPr>
          <w:rFonts w:hint="eastAsia" w:ascii="Times New Roman" w:hAnsi="Times New Roman" w:eastAsia="方正小标宋简体"/>
          <w:sz w:val="32"/>
          <w:szCs w:val="32"/>
          <w:lang w:eastAsia="zh-CN"/>
        </w:rPr>
      </w:pPr>
    </w:p>
    <w:p w14:paraId="6C04B793">
      <w:pPr>
        <w:spacing w:beforeLines="0" w:line="560" w:lineRule="exact"/>
        <w:jc w:val="both"/>
        <w:rPr>
          <w:rFonts w:hint="eastAsia" w:ascii="Times New Roman" w:hAnsi="Times New Roman" w:eastAsia="方正小标宋简体"/>
          <w:sz w:val="32"/>
          <w:szCs w:val="32"/>
          <w:lang w:eastAsia="zh-CN"/>
        </w:rPr>
      </w:pPr>
    </w:p>
    <w:p w14:paraId="10E8016F">
      <w:pPr>
        <w:spacing w:beforeLines="0" w:line="560" w:lineRule="exact"/>
        <w:jc w:val="both"/>
        <w:rPr>
          <w:rFonts w:hint="eastAsia" w:ascii="Times New Roman" w:hAnsi="Times New Roman" w:eastAsia="方正小标宋简体"/>
          <w:sz w:val="32"/>
          <w:szCs w:val="32"/>
          <w:lang w:eastAsia="zh-CN"/>
        </w:rPr>
      </w:pPr>
    </w:p>
    <w:p w14:paraId="320BEB31">
      <w:pPr>
        <w:spacing w:beforeLines="0" w:line="560" w:lineRule="exact"/>
        <w:jc w:val="both"/>
        <w:rPr>
          <w:rFonts w:hint="eastAsia" w:ascii="Times New Roman" w:hAnsi="Times New Roman" w:eastAsia="方正小标宋简体"/>
          <w:sz w:val="32"/>
          <w:szCs w:val="32"/>
          <w:lang w:eastAsia="zh-CN"/>
        </w:rPr>
      </w:pPr>
    </w:p>
    <w:p w14:paraId="2A7FFAA9">
      <w:pPr>
        <w:spacing w:beforeLines="0" w:line="560" w:lineRule="exact"/>
        <w:jc w:val="both"/>
        <w:rPr>
          <w:rFonts w:hint="eastAsia" w:ascii="Times New Roman" w:hAnsi="Times New Roman" w:eastAsia="方正小标宋简体"/>
          <w:sz w:val="32"/>
          <w:szCs w:val="32"/>
          <w:lang w:eastAsia="zh-CN"/>
        </w:rPr>
      </w:pPr>
    </w:p>
    <w:p w14:paraId="70678038">
      <w:pPr>
        <w:spacing w:beforeLines="0" w:line="560" w:lineRule="exact"/>
        <w:jc w:val="both"/>
        <w:rPr>
          <w:rFonts w:hint="eastAsia" w:ascii="Times New Roman" w:hAnsi="Times New Roman" w:eastAsia="方正小标宋简体"/>
          <w:sz w:val="32"/>
          <w:szCs w:val="32"/>
          <w:lang w:eastAsia="zh-CN"/>
        </w:rPr>
      </w:pPr>
    </w:p>
    <w:p w14:paraId="1E98613E">
      <w:pPr>
        <w:spacing w:beforeLines="0" w:line="560" w:lineRule="exact"/>
        <w:jc w:val="both"/>
        <w:rPr>
          <w:rFonts w:hint="eastAsia" w:ascii="Times New Roman" w:hAnsi="Times New Roman" w:eastAsia="方正小标宋简体"/>
          <w:sz w:val="32"/>
          <w:szCs w:val="32"/>
          <w:lang w:eastAsia="zh-CN"/>
        </w:rPr>
      </w:pPr>
    </w:p>
    <w:p w14:paraId="7A25B23D">
      <w:pPr>
        <w:spacing w:beforeLines="0" w:line="560" w:lineRule="exact"/>
        <w:jc w:val="both"/>
        <w:rPr>
          <w:rFonts w:hint="eastAsia" w:ascii="Times New Roman" w:hAnsi="Times New Roman" w:eastAsia="方正小标宋简体"/>
          <w:sz w:val="32"/>
          <w:szCs w:val="32"/>
          <w:lang w:eastAsia="zh-CN"/>
        </w:rPr>
      </w:pPr>
    </w:p>
    <w:p w14:paraId="107A0569">
      <w:pPr>
        <w:spacing w:beforeLines="0" w:line="560" w:lineRule="exact"/>
        <w:jc w:val="both"/>
        <w:rPr>
          <w:rFonts w:hint="eastAsia" w:ascii="Times New Roman" w:hAnsi="Times New Roman" w:eastAsia="方正小标宋简体"/>
          <w:sz w:val="32"/>
          <w:szCs w:val="32"/>
          <w:lang w:eastAsia="zh-CN"/>
        </w:rPr>
      </w:pPr>
    </w:p>
    <w:p w14:paraId="0CF42FF4">
      <w:pPr>
        <w:pStyle w:val="11"/>
        <w:rPr>
          <w:rFonts w:hint="eastAsia" w:ascii="Times New Roman" w:hAnsi="Times New Roman" w:eastAsia="方正小标宋简体"/>
          <w:sz w:val="32"/>
          <w:szCs w:val="32"/>
          <w:lang w:eastAsia="zh-CN"/>
        </w:rPr>
      </w:pPr>
    </w:p>
    <w:p w14:paraId="0CC35A4C">
      <w:pPr>
        <w:pStyle w:val="11"/>
        <w:rPr>
          <w:rFonts w:hint="eastAsia" w:ascii="Times New Roman" w:hAnsi="Times New Roman" w:eastAsia="方正小标宋简体"/>
          <w:sz w:val="32"/>
          <w:szCs w:val="32"/>
          <w:lang w:eastAsia="zh-CN"/>
        </w:rPr>
      </w:pPr>
    </w:p>
    <w:p w14:paraId="138AAB4A">
      <w:pPr>
        <w:pStyle w:val="11"/>
        <w:rPr>
          <w:rFonts w:hint="eastAsia" w:ascii="Times New Roman" w:hAnsi="Times New Roman" w:eastAsia="方正小标宋简体"/>
          <w:sz w:val="32"/>
          <w:szCs w:val="32"/>
          <w:lang w:eastAsia="zh-CN"/>
        </w:rPr>
      </w:pPr>
    </w:p>
    <w:p w14:paraId="2EFAC4E7">
      <w:pPr>
        <w:spacing w:beforeLines="0" w:line="560" w:lineRule="exact"/>
        <w:jc w:val="both"/>
        <w:rPr>
          <w:rFonts w:hint="eastAsia" w:ascii="Times New Roman" w:hAnsi="Times New Roman" w:eastAsia="方正小标宋简体"/>
          <w:sz w:val="32"/>
          <w:szCs w:val="32"/>
          <w:lang w:eastAsia="zh-CN"/>
        </w:rPr>
      </w:pPr>
    </w:p>
    <w:p w14:paraId="08D4E795">
      <w:pPr>
        <w:spacing w:beforeLines="0" w:line="560" w:lineRule="exact"/>
        <w:jc w:val="both"/>
        <w:rPr>
          <w:rFonts w:hint="eastAsia" w:ascii="Times New Roman" w:hAnsi="Times New Roman" w:eastAsia="方正小标宋简体"/>
          <w:sz w:val="32"/>
          <w:szCs w:val="32"/>
          <w:lang w:eastAsia="zh-CN"/>
        </w:rPr>
      </w:pPr>
    </w:p>
    <w:p w14:paraId="0DFBD65F">
      <w:pPr>
        <w:spacing w:beforeLines="0" w:line="560" w:lineRule="exact"/>
        <w:jc w:val="both"/>
        <w:rPr>
          <w:rFonts w:hint="eastAsia" w:ascii="Times New Roman" w:hAnsi="Times New Roman" w:eastAsia="方正小标宋简体"/>
          <w:sz w:val="32"/>
          <w:szCs w:val="32"/>
          <w:lang w:eastAsia="zh-CN"/>
        </w:rPr>
      </w:pPr>
    </w:p>
    <w:p w14:paraId="650BFCF9">
      <w:pPr>
        <w:spacing w:beforeLines="0" w:line="560" w:lineRule="exact"/>
        <w:jc w:val="both"/>
        <w:rPr>
          <w:rFonts w:hint="eastAsia" w:ascii="Times New Roman" w:hAnsi="Times New Roman" w:eastAsia="方正小标宋简体"/>
          <w:sz w:val="32"/>
          <w:szCs w:val="32"/>
          <w:lang w:eastAsia="zh-CN"/>
        </w:rPr>
      </w:pPr>
    </w:p>
    <w:p w14:paraId="62715307">
      <w:pPr>
        <w:pStyle w:val="11"/>
        <w:rPr>
          <w:rFonts w:hint="eastAsia" w:ascii="Times New Roman" w:hAnsi="Times New Roman" w:eastAsia="方正小标宋简体"/>
          <w:sz w:val="32"/>
          <w:szCs w:val="32"/>
          <w:lang w:eastAsia="zh-CN"/>
        </w:rPr>
      </w:pPr>
    </w:p>
    <w:p w14:paraId="0CAA7503">
      <w:pPr>
        <w:pStyle w:val="11"/>
        <w:rPr>
          <w:rFonts w:hint="eastAsia" w:ascii="Times New Roman" w:hAnsi="Times New Roman" w:eastAsia="方正小标宋简体"/>
          <w:sz w:val="32"/>
          <w:szCs w:val="32"/>
          <w:lang w:eastAsia="zh-CN"/>
        </w:rPr>
      </w:pPr>
    </w:p>
    <w:p w14:paraId="068DF41A">
      <w:pPr>
        <w:spacing w:beforeLines="0" w:line="560" w:lineRule="exact"/>
        <w:jc w:val="both"/>
        <w:rPr>
          <w:rFonts w:hint="eastAsia" w:ascii="Times New Roman" w:hAnsi="Times New Roman" w:eastAsia="方正小标宋简体"/>
          <w:sz w:val="32"/>
          <w:szCs w:val="32"/>
          <w:lang w:eastAsia="zh-CN"/>
        </w:rPr>
      </w:pPr>
    </w:p>
    <w:p w14:paraId="010EE8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1C8C2-91C3-45C0-AD56-44E535E580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B420381-E7F5-431F-852C-B200A091C9C8}"/>
  </w:font>
  <w:font w:name="楷体_GB2312">
    <w:panose1 w:val="02010609030101010101"/>
    <w:charset w:val="86"/>
    <w:family w:val="modern"/>
    <w:pitch w:val="default"/>
    <w:sig w:usb0="00000001" w:usb1="080E0000" w:usb2="00000000" w:usb3="00000000" w:csb0="00040000" w:csb1="00000000"/>
    <w:embedRegular r:id="rId3" w:fontKey="{034C9C79-21B9-4BCE-AE4C-AF2C7BCA9A47}"/>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B1A84FD0-9359-43B8-A534-716790234F3E}"/>
  </w:font>
  <w:font w:name="Wingdings 2">
    <w:panose1 w:val="05020102010507070707"/>
    <w:charset w:val="02"/>
    <w:family w:val="auto"/>
    <w:pitch w:val="default"/>
    <w:sig w:usb0="00000000" w:usb1="00000000" w:usb2="00000000" w:usb3="00000000" w:csb0="80000000" w:csb1="00000000"/>
    <w:embedRegular r:id="rId5" w:fontKey="{5CF43FC9-0AE6-4F63-985A-8C936EEEFACB}"/>
  </w:font>
  <w:font w:name="微软雅黑">
    <w:panose1 w:val="020B0503020204020204"/>
    <w:charset w:val="86"/>
    <w:family w:val="auto"/>
    <w:pitch w:val="default"/>
    <w:sig w:usb0="80000287" w:usb1="2ACF3C50" w:usb2="00000016" w:usb3="00000000" w:csb0="0004001F" w:csb1="00000000"/>
    <w:embedRegular r:id="rId6" w:fontKey="{5EE8E958-626A-4E9A-A61E-A9E35CE3AE5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7A2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5280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05280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69EA3">
                          <w:pPr>
                            <w:pStyle w:val="4"/>
                            <w:rPr>
                              <w:rFonts w:hint="default" w:ascii="宋体" w:hAnsi="宋体" w:eastAsia="宋体" w:cs="宋体"/>
                              <w:sz w:val="32"/>
                              <w:szCs w:val="32"/>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3969EA3">
                    <w:pPr>
                      <w:pStyle w:val="4"/>
                      <w:rPr>
                        <w:rFonts w:hint="default" w:ascii="宋体" w:hAnsi="宋体" w:eastAsia="宋体" w:cs="宋体"/>
                        <w:sz w:val="32"/>
                        <w:szCs w:val="32"/>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991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957C65">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2957C65">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50B9">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D6294">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0AD6294">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8C18">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8F38AE">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0A8F38AE">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8F2B">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03A3AA">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F03A3AA">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7050">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B102B0">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EB102B0">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E946">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B092D0">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8B092D0">
                    <w:pPr>
                      <w:pStyle w:val="4"/>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F7CC9"/>
    <w:rsid w:val="0C3A1B1D"/>
    <w:rsid w:val="0D011AEE"/>
    <w:rsid w:val="2BB94533"/>
    <w:rsid w:val="46EE0DD7"/>
    <w:rsid w:val="495728A1"/>
    <w:rsid w:val="4DF70A21"/>
    <w:rsid w:val="7D26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Body Text"/>
    <w:basedOn w:val="1"/>
    <w:next w:val="2"/>
    <w:qFormat/>
    <w:uiPriority w:val="0"/>
    <w:pPr>
      <w:ind w:left="876"/>
    </w:pPr>
    <w:rPr>
      <w:rFonts w:ascii="楷体_GB2312" w:hAnsi="楷体_GB2312" w:eastAsia="楷体_GB2312"/>
      <w:sz w:val="24"/>
      <w:szCs w:val="24"/>
    </w:rPr>
  </w:style>
  <w:style w:type="paragraph" w:styleId="4">
    <w:name w:val="footer"/>
    <w:basedOn w:val="1"/>
    <w:qFormat/>
    <w:uiPriority w:val="0"/>
    <w:pPr>
      <w:tabs>
        <w:tab w:val="center" w:pos="4153"/>
        <w:tab w:val="right" w:pos="8306"/>
      </w:tabs>
      <w:snapToGrid w:val="0"/>
      <w:jc w:val="left"/>
    </w:pPr>
    <w:rPr>
      <w:rFonts w:eastAsia="宋体"/>
      <w:sz w:val="32"/>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 Char"/>
    <w:basedOn w:val="1"/>
    <w:qFormat/>
    <w:uiPriority w:val="0"/>
    <w:rPr>
      <w:szCs w:val="21"/>
    </w:rPr>
  </w:style>
  <w:style w:type="paragraph" w:customStyle="1" w:styleId="1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3993</Words>
  <Characters>4249</Characters>
  <Lines>0</Lines>
  <Paragraphs>0</Paragraphs>
  <TotalTime>4</TotalTime>
  <ScaleCrop>false</ScaleCrop>
  <LinksUpToDate>false</LinksUpToDate>
  <CharactersWithSpaces>4274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2025-02-18T08:34:00Z</dcterms:created>
  <dc:creator>lzl</dc:creator>
  <cp:lastModifiedBy>狗粮</cp:lastModifiedBy>
  <dcterms:modified xsi:type="dcterms:W3CDTF">2025-02-19T02:45:31Z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eyJoZGlkIjoiMzY4MTZjYzhjMjc5MjQzOTIwODc4ZmFlM2YwZmNiNWQiLCJ1c2VySWQiOiI1NzU0MDE5NjQifQ==</vt:lpwstr>
  </property>
  <property fmtid="{D5CDD505-2E9C-101B-9397-08002B2CF9AE}" pid="4" name="ICV">
    <vt:lpwstr>0711F8DA033C44F0A015FD74B856D8E3_12</vt:lpwstr>
  </property>
</Properties>
</file>